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AC2AF" w14:textId="62CA695B" w:rsidR="007323A9" w:rsidRDefault="002E467D">
      <w:pPr>
        <w:pStyle w:val="3GPPHeader"/>
        <w:tabs>
          <w:tab w:val="clear" w:pos="1800"/>
          <w:tab w:val="clear" w:pos="9360"/>
          <w:tab w:val="left" w:pos="1580"/>
          <w:tab w:val="left" w:pos="2680"/>
        </w:tabs>
        <w:snapToGrid w:val="0"/>
        <w:rPr>
          <w:rFonts w:cs="Arial"/>
          <w:sz w:val="22"/>
        </w:rPr>
      </w:pPr>
      <w:bookmarkStart w:id="0" w:name="OLE_LINK2"/>
      <w:bookmarkStart w:id="1" w:name="OLE_LINK1"/>
      <w:r>
        <w:rPr>
          <w:rFonts w:cs="Arial"/>
          <w:sz w:val="22"/>
        </w:rPr>
        <w:t>3GPP TSG RAN WG1</w:t>
      </w:r>
      <w:r w:rsidR="00EB1ECF">
        <w:rPr>
          <w:rFonts w:cs="Arial"/>
          <w:sz w:val="22"/>
        </w:rPr>
        <w:t xml:space="preserve"> </w:t>
      </w:r>
      <w:r>
        <w:rPr>
          <w:rFonts w:cs="Arial"/>
          <w:sz w:val="22"/>
        </w:rPr>
        <w:t>#1</w:t>
      </w:r>
      <w:r w:rsidR="007D3EAB">
        <w:rPr>
          <w:rFonts w:cs="Arial"/>
          <w:sz w:val="22"/>
        </w:rPr>
        <w:t>20</w:t>
      </w:r>
      <w:r w:rsidR="001B4435">
        <w:rPr>
          <w:rFonts w:cs="Arial"/>
          <w:sz w:val="22"/>
        </w:rPr>
        <w:t>bis</w:t>
      </w:r>
      <w:r>
        <w:rPr>
          <w:rFonts w:cs="Arial"/>
          <w:sz w:val="22"/>
        </w:rPr>
        <w:t xml:space="preserve">                                </w:t>
      </w:r>
      <w:r w:rsidR="001446FD">
        <w:rPr>
          <w:rFonts w:cs="Arial"/>
          <w:sz w:val="22"/>
        </w:rPr>
        <w:t xml:space="preserve">   </w:t>
      </w:r>
      <w:r>
        <w:rPr>
          <w:rFonts w:cs="Arial"/>
          <w:sz w:val="22"/>
        </w:rPr>
        <w:t xml:space="preserve">          R1-</w:t>
      </w:r>
      <w:r w:rsidR="008B2B1C" w:rsidRPr="008B2B1C">
        <w:t xml:space="preserve"> </w:t>
      </w:r>
      <w:r w:rsidR="008B2B1C" w:rsidRPr="008B2B1C">
        <w:rPr>
          <w:rFonts w:cs="Arial"/>
          <w:sz w:val="22"/>
        </w:rPr>
        <w:t>2501903</w:t>
      </w:r>
    </w:p>
    <w:p w14:paraId="167BF06F" w14:textId="77777777" w:rsidR="001B4435" w:rsidRPr="001B4435" w:rsidRDefault="001B4435" w:rsidP="001B4435">
      <w:pPr>
        <w:tabs>
          <w:tab w:val="center" w:pos="4536"/>
          <w:tab w:val="right" w:pos="9072"/>
        </w:tabs>
        <w:rPr>
          <w:rFonts w:ascii="Arial" w:eastAsia="MS Mincho" w:hAnsi="Arial" w:cs="Arial"/>
          <w:b/>
          <w:bCs/>
          <w:lang w:eastAsia="ja-JP"/>
        </w:rPr>
      </w:pPr>
      <w:r w:rsidRPr="001B4435">
        <w:rPr>
          <w:rFonts w:ascii="Arial" w:eastAsia="MS Mincho" w:hAnsi="Arial" w:cs="Arial"/>
          <w:b/>
          <w:bCs/>
          <w:lang w:eastAsia="ja-JP"/>
        </w:rPr>
        <w:t xml:space="preserve">Wuhan, China, </w:t>
      </w:r>
      <w:r w:rsidRPr="001B4435">
        <w:rPr>
          <w:rFonts w:ascii="Arial" w:eastAsia="Malgun Gothic" w:hAnsi="Arial" w:cs="Arial"/>
          <w:b/>
          <w:bCs/>
          <w:lang w:eastAsia="ko-KR"/>
        </w:rPr>
        <w:t xml:space="preserve">April </w:t>
      </w:r>
      <w:r w:rsidRPr="001B4435">
        <w:rPr>
          <w:rFonts w:ascii="Arial" w:eastAsia="MS Mincho" w:hAnsi="Arial" w:cs="Arial"/>
          <w:b/>
          <w:bCs/>
          <w:lang w:eastAsia="ja-JP"/>
        </w:rPr>
        <w:t>7</w:t>
      </w:r>
      <w:r w:rsidRPr="001B4435">
        <w:rPr>
          <w:rFonts w:ascii="Arial" w:eastAsia="Malgun Gothic" w:hAnsi="Arial" w:cs="Arial"/>
          <w:b/>
          <w:bCs/>
          <w:vertAlign w:val="superscript"/>
          <w:lang w:eastAsia="ko-KR"/>
        </w:rPr>
        <w:t>th</w:t>
      </w:r>
      <w:r w:rsidRPr="001B4435">
        <w:rPr>
          <w:rFonts w:ascii="Arial" w:eastAsia="MS Mincho" w:hAnsi="Arial" w:cs="Arial"/>
          <w:b/>
          <w:bCs/>
          <w:lang w:eastAsia="ja-JP"/>
        </w:rPr>
        <w:t xml:space="preserve"> </w:t>
      </w:r>
      <w:r w:rsidRPr="001B4435">
        <w:rPr>
          <w:rFonts w:ascii="Arial" w:hAnsi="Arial" w:cs="Arial"/>
          <w:b/>
          <w:bCs/>
        </w:rPr>
        <w:t>– 11</w:t>
      </w:r>
      <w:r w:rsidRPr="001B4435">
        <w:rPr>
          <w:rFonts w:ascii="Arial" w:hAnsi="Arial" w:cs="Arial"/>
          <w:b/>
          <w:bCs/>
          <w:vertAlign w:val="superscript"/>
        </w:rPr>
        <w:t>th</w:t>
      </w:r>
      <w:r w:rsidRPr="001B4435">
        <w:rPr>
          <w:rFonts w:ascii="Arial" w:eastAsia="MS Mincho" w:hAnsi="Arial" w:cs="Arial"/>
          <w:b/>
          <w:bCs/>
          <w:lang w:eastAsia="ja-JP"/>
        </w:rPr>
        <w:t>, 2025</w:t>
      </w:r>
    </w:p>
    <w:p w14:paraId="455E7D46" w14:textId="77777777" w:rsidR="007323A9" w:rsidRDefault="002E467D">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Sanechips</w:t>
      </w:r>
    </w:p>
    <w:p w14:paraId="54F8B7A7" w14:textId="77777777" w:rsidR="007323A9" w:rsidRDefault="002E467D">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Discussion on IoT-NTN TDD mode</w:t>
      </w:r>
    </w:p>
    <w:p w14:paraId="64AA579C" w14:textId="77777777" w:rsidR="007323A9" w:rsidRDefault="002E467D">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9.11.5</w:t>
      </w:r>
    </w:p>
    <w:p w14:paraId="75EFE29F" w14:textId="77777777" w:rsidR="007323A9" w:rsidRDefault="002E467D">
      <w:pPr>
        <w:pBdr>
          <w:bottom w:val="single" w:sz="6" w:space="1" w:color="auto"/>
        </w:pBdr>
        <w:snapToGrid w:val="0"/>
        <w:jc w:val="both"/>
        <w:rPr>
          <w:rFonts w:ascii="Arial" w:hAnsi="Arial"/>
          <w:b/>
        </w:rPr>
      </w:pPr>
      <w:r>
        <w:rPr>
          <w:rFonts w:ascii="Arial" w:hAnsi="Arial"/>
          <w:b/>
        </w:rPr>
        <w:t>Document for: Discussion</w:t>
      </w:r>
      <w:bookmarkEnd w:id="0"/>
      <w:bookmarkEnd w:id="1"/>
    </w:p>
    <w:p w14:paraId="0ED5DDA2" w14:textId="77777777"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3CE78673" w14:textId="1EC0BADB" w:rsidR="002E1AF0" w:rsidRDefault="002E467D">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In RAN</w:t>
      </w:r>
      <w:r w:rsidR="00A9181A">
        <w:rPr>
          <w:rFonts w:ascii="Times New Roman" w:eastAsia="宋体" w:hAnsi="Times New Roman" w:cs="Times New Roman"/>
          <w:sz w:val="20"/>
          <w:szCs w:val="20"/>
        </w:rPr>
        <w:t>1</w:t>
      </w:r>
      <w:r>
        <w:rPr>
          <w:rFonts w:ascii="Times New Roman" w:eastAsia="宋体" w:hAnsi="Times New Roman" w:cs="Times New Roman"/>
          <w:sz w:val="20"/>
          <w:szCs w:val="20"/>
        </w:rPr>
        <w:t>#1</w:t>
      </w:r>
      <w:r w:rsidR="00DC5BFF">
        <w:rPr>
          <w:rFonts w:ascii="Times New Roman" w:eastAsia="宋体" w:hAnsi="Times New Roman" w:cs="Times New Roman"/>
          <w:sz w:val="20"/>
          <w:szCs w:val="20"/>
        </w:rPr>
        <w:t>20</w:t>
      </w:r>
      <w:r>
        <w:rPr>
          <w:rFonts w:ascii="Times New Roman" w:eastAsia="宋体" w:hAnsi="Times New Roman" w:cs="Times New Roman"/>
          <w:sz w:val="20"/>
          <w:szCs w:val="20"/>
        </w:rPr>
        <w:t xml:space="preserve">, </w:t>
      </w:r>
      <w:r w:rsidR="00A9181A">
        <w:rPr>
          <w:rFonts w:ascii="Times New Roman" w:eastAsia="宋体" w:hAnsi="Times New Roman" w:cs="Times New Roman" w:hint="eastAsia"/>
          <w:sz w:val="20"/>
          <w:szCs w:val="20"/>
        </w:rPr>
        <w:t>RAN</w:t>
      </w:r>
      <w:r w:rsidR="00A9181A">
        <w:rPr>
          <w:rFonts w:ascii="Times New Roman" w:eastAsia="宋体" w:hAnsi="Times New Roman" w:cs="Times New Roman"/>
          <w:sz w:val="20"/>
          <w:szCs w:val="20"/>
        </w:rPr>
        <w:t>1 discussed physical layer issues for IoT-NTN TDD mode and following agreements and conclusions are achieved</w:t>
      </w:r>
      <w:r>
        <w:rPr>
          <w:rFonts w:ascii="Times New Roman" w:eastAsia="宋体" w:hAnsi="Times New Roman" w:cs="Times New Roman" w:hint="eastAsia"/>
          <w:sz w:val="20"/>
          <w:szCs w:val="20"/>
        </w:rPr>
        <w:t xml:space="preserve"> [1]</w:t>
      </w:r>
      <w:r>
        <w:rPr>
          <w:rFonts w:ascii="Times New Roman" w:eastAsia="宋体" w:hAnsi="Times New Roman" w:cs="Times New Roman"/>
          <w:sz w:val="20"/>
          <w:szCs w:val="20"/>
        </w:rPr>
        <w:t>.</w:t>
      </w:r>
    </w:p>
    <w:tbl>
      <w:tblPr>
        <w:tblStyle w:val="af2"/>
        <w:tblW w:w="0" w:type="auto"/>
        <w:tblLook w:val="04A0" w:firstRow="1" w:lastRow="0" w:firstColumn="1" w:lastColumn="0" w:noHBand="0" w:noVBand="1"/>
      </w:tblPr>
      <w:tblGrid>
        <w:gridCol w:w="9350"/>
      </w:tblGrid>
      <w:tr w:rsidR="002E1AF0" w14:paraId="08909D54" w14:textId="77777777" w:rsidTr="00285F4E">
        <w:tc>
          <w:tcPr>
            <w:tcW w:w="9350" w:type="dxa"/>
          </w:tcPr>
          <w:p w14:paraId="21E4CC24" w14:textId="77777777" w:rsidR="00DC5BFF" w:rsidRPr="00DC5BFF" w:rsidRDefault="00DC5BFF" w:rsidP="00DC5BFF">
            <w:pPr>
              <w:spacing w:after="0" w:line="240" w:lineRule="auto"/>
              <w:rPr>
                <w:rFonts w:ascii="Times" w:eastAsia="宋体" w:hAnsi="Times" w:cs="Times New Roman"/>
                <w:bCs/>
                <w:sz w:val="20"/>
                <w:szCs w:val="20"/>
                <w:lang w:val="en-GB"/>
              </w:rPr>
            </w:pPr>
            <w:r w:rsidRPr="00DC5BFF">
              <w:rPr>
                <w:rFonts w:ascii="Times" w:eastAsia="宋体" w:hAnsi="Times" w:cs="Times New Roman"/>
                <w:bCs/>
                <w:sz w:val="20"/>
                <w:szCs w:val="20"/>
                <w:highlight w:val="green"/>
                <w:lang w:val="en-GB"/>
              </w:rPr>
              <w:t>Agreement</w:t>
            </w:r>
          </w:p>
          <w:p w14:paraId="617852E6" w14:textId="77777777" w:rsidR="00DC5BFF" w:rsidRPr="00DC5BFF" w:rsidRDefault="00DC5BFF" w:rsidP="00DC5BFF">
            <w:pPr>
              <w:spacing w:after="0" w:line="240" w:lineRule="auto"/>
              <w:rPr>
                <w:rFonts w:ascii="Times" w:eastAsia="宋体" w:hAnsi="Times" w:cs="Times New Roman"/>
                <w:bCs/>
                <w:sz w:val="20"/>
                <w:szCs w:val="20"/>
                <w:lang w:val="en-GB"/>
              </w:rPr>
            </w:pPr>
            <w:r w:rsidRPr="00DC5BFF">
              <w:rPr>
                <w:rFonts w:ascii="Times" w:eastAsia="宋体" w:hAnsi="Times" w:cs="Times New Roman"/>
                <w:bCs/>
                <w:sz w:val="20"/>
                <w:szCs w:val="20"/>
                <w:lang w:val="en-GB"/>
              </w:rPr>
              <w:t>The guard period between the end of the downlink subframes and the beginning of the uplink subframes is fixed in specifications to be [48…50] ms at the ULSRP</w:t>
            </w:r>
          </w:p>
          <w:p w14:paraId="601128E1" w14:textId="77777777" w:rsidR="00DC5BFF" w:rsidRPr="00DC5BFF" w:rsidRDefault="00DC5BFF" w:rsidP="00DC5BFF">
            <w:pPr>
              <w:numPr>
                <w:ilvl w:val="0"/>
                <w:numId w:val="16"/>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NOTE: This corresponds to the largest separation between DL and UL Iridium slot pairs. Adjustments to align with different UL/DL pair can be achieved by adjusting the common TA</w:t>
            </w:r>
          </w:p>
          <w:p w14:paraId="0D5A2C17" w14:textId="77777777" w:rsidR="00DC5BFF" w:rsidRPr="00DC5BFF" w:rsidRDefault="00DC5BFF" w:rsidP="00DC5BFF">
            <w:pPr>
              <w:spacing w:after="0" w:line="240" w:lineRule="auto"/>
              <w:rPr>
                <w:rFonts w:ascii="Times" w:eastAsia="Batang" w:hAnsi="Times" w:cs="Times New Roman"/>
                <w:sz w:val="20"/>
                <w:szCs w:val="20"/>
                <w:lang w:val="en-GB" w:eastAsia="x-none"/>
              </w:rPr>
            </w:pPr>
          </w:p>
          <w:p w14:paraId="575A147E" w14:textId="77777777" w:rsidR="00DC5BFF" w:rsidRPr="00DC5BFF" w:rsidRDefault="00DC5BFF" w:rsidP="00DC5BFF">
            <w:pPr>
              <w:spacing w:after="0" w:line="240" w:lineRule="auto"/>
              <w:rPr>
                <w:rFonts w:ascii="Times" w:eastAsia="宋体" w:hAnsi="Times" w:cs="Times New Roman"/>
                <w:bCs/>
                <w:sz w:val="20"/>
                <w:szCs w:val="20"/>
                <w:lang w:val="en-GB"/>
              </w:rPr>
            </w:pPr>
            <w:r w:rsidRPr="00DC5BFF">
              <w:rPr>
                <w:rFonts w:ascii="Times" w:eastAsia="宋体" w:hAnsi="Times" w:cs="Times New Roman"/>
                <w:bCs/>
                <w:sz w:val="20"/>
                <w:szCs w:val="20"/>
                <w:highlight w:val="green"/>
                <w:lang w:val="en-GB"/>
              </w:rPr>
              <w:t>Agreement</w:t>
            </w:r>
          </w:p>
          <w:p w14:paraId="35D11112" w14:textId="77777777" w:rsidR="00DC5BFF" w:rsidRPr="00DC5BFF" w:rsidRDefault="00DC5BFF" w:rsidP="00DC5BFF">
            <w:pPr>
              <w:spacing w:after="0" w:line="240" w:lineRule="auto"/>
              <w:rPr>
                <w:rFonts w:ascii="Times" w:eastAsia="宋体" w:hAnsi="Times" w:cs="Times New Roman"/>
                <w:bCs/>
                <w:sz w:val="20"/>
                <w:szCs w:val="20"/>
                <w:lang w:val="en-GB"/>
              </w:rPr>
            </w:pPr>
            <w:r w:rsidRPr="00DC5BFF">
              <w:rPr>
                <w:rFonts w:ascii="Times" w:eastAsia="宋体" w:hAnsi="Times" w:cs="Times New Roman"/>
                <w:bCs/>
                <w:sz w:val="20"/>
                <w:szCs w:val="20"/>
                <w:lang w:val="en-GB"/>
              </w:rPr>
              <w:t xml:space="preserve">The downlink subframes within D=8 are fixed to: </w:t>
            </w:r>
          </w:p>
          <w:p w14:paraId="3088BD93" w14:textId="77777777" w:rsidR="00DC5BFF" w:rsidRPr="00DC5BFF" w:rsidRDefault="00DC5BFF" w:rsidP="00DC5BFF">
            <w:pPr>
              <w:numPr>
                <w:ilvl w:val="0"/>
                <w:numId w:val="16"/>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Option 1: [3 4 5 6 7 8 9 0] (across two consecutive radio frames)</w:t>
            </w:r>
          </w:p>
          <w:p w14:paraId="08DD88AC" w14:textId="77777777" w:rsidR="00DC5BFF" w:rsidRPr="00DC5BFF" w:rsidRDefault="00DC5BFF" w:rsidP="00DC5BFF">
            <w:pPr>
              <w:spacing w:after="0" w:line="240" w:lineRule="auto"/>
              <w:rPr>
                <w:rFonts w:ascii="Times" w:eastAsia="Batang" w:hAnsi="Times" w:cs="Times New Roman"/>
                <w:sz w:val="20"/>
                <w:szCs w:val="20"/>
                <w:lang w:val="en-GB" w:eastAsia="x-none"/>
              </w:rPr>
            </w:pPr>
          </w:p>
          <w:p w14:paraId="35D0E0E9" w14:textId="77777777" w:rsidR="00DC5BFF" w:rsidRPr="00DC5BFF" w:rsidRDefault="00DC5BFF" w:rsidP="00DC5BFF">
            <w:pPr>
              <w:spacing w:after="0" w:line="240" w:lineRule="auto"/>
              <w:rPr>
                <w:rFonts w:ascii="Times" w:eastAsia="宋体" w:hAnsi="Times" w:cs="Times New Roman"/>
                <w:bCs/>
                <w:sz w:val="20"/>
                <w:szCs w:val="20"/>
                <w:lang w:val="en-GB"/>
              </w:rPr>
            </w:pPr>
            <w:r w:rsidRPr="00DC5BFF">
              <w:rPr>
                <w:rFonts w:ascii="Times" w:eastAsia="宋体" w:hAnsi="Times" w:cs="Times New Roman"/>
                <w:bCs/>
                <w:sz w:val="20"/>
                <w:szCs w:val="20"/>
                <w:highlight w:val="green"/>
                <w:lang w:val="en-GB"/>
              </w:rPr>
              <w:t>Agreement</w:t>
            </w:r>
          </w:p>
          <w:p w14:paraId="29512DDA" w14:textId="77777777" w:rsidR="00DC5BFF" w:rsidRPr="00DC5BFF" w:rsidRDefault="00DC5BFF" w:rsidP="00DC5BFF">
            <w:pPr>
              <w:spacing w:after="0" w:line="240" w:lineRule="auto"/>
              <w:rPr>
                <w:rFonts w:ascii="Times" w:eastAsia="宋体" w:hAnsi="Times" w:cs="Times New Roman"/>
                <w:bCs/>
                <w:sz w:val="20"/>
                <w:szCs w:val="20"/>
                <w:lang w:val="en-GB"/>
              </w:rPr>
            </w:pPr>
            <w:r w:rsidRPr="00DC5BFF">
              <w:rPr>
                <w:rFonts w:ascii="Times" w:eastAsia="宋体" w:hAnsi="Times" w:cs="Times New Roman"/>
                <w:bCs/>
                <w:sz w:val="20"/>
                <w:szCs w:val="20"/>
                <w:lang w:val="en-GB"/>
              </w:rPr>
              <w:t xml:space="preserve">NPSS/NSSS/NPBCH transmissions are dropped in non-D NB-IoT subframes </w:t>
            </w:r>
          </w:p>
          <w:p w14:paraId="2A58CA8E" w14:textId="77777777" w:rsidR="00DC5BFF" w:rsidRPr="00DC5BFF" w:rsidRDefault="00DC5BFF" w:rsidP="00DC5BFF">
            <w:pPr>
              <w:numPr>
                <w:ilvl w:val="0"/>
                <w:numId w:val="16"/>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NOTE: “non-D NB-IoT subframes” are subframes not contained within the set of D=8 usable consecutive downlink subframes in the TDD structure.</w:t>
            </w:r>
          </w:p>
          <w:p w14:paraId="2B5F7291" w14:textId="77777777" w:rsidR="00DC5BFF" w:rsidRPr="00DC5BFF" w:rsidRDefault="00DC5BFF" w:rsidP="00DC5BFF">
            <w:pPr>
              <w:numPr>
                <w:ilvl w:val="0"/>
                <w:numId w:val="16"/>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Malgun Gothic" w:hAnsi="Times" w:cs="Times New Roman" w:hint="eastAsia"/>
                <w:bCs/>
                <w:sz w:val="20"/>
                <w:szCs w:val="20"/>
                <w:lang w:val="en-GB"/>
              </w:rPr>
              <w:t>F</w:t>
            </w:r>
            <w:r w:rsidRPr="00DC5BFF">
              <w:rPr>
                <w:rFonts w:ascii="Times" w:eastAsia="Malgun Gothic" w:hAnsi="Times" w:cs="Times New Roman"/>
                <w:bCs/>
                <w:sz w:val="20"/>
                <w:szCs w:val="20"/>
                <w:lang w:val="en-GB"/>
              </w:rPr>
              <w:t>FS: handling for SIB1-NB</w:t>
            </w:r>
          </w:p>
          <w:p w14:paraId="07BAFB5F" w14:textId="77777777" w:rsidR="00DC5BFF" w:rsidRPr="00DC5BFF" w:rsidRDefault="00DC5BFF" w:rsidP="00DC5BFF">
            <w:pPr>
              <w:spacing w:after="0" w:line="240" w:lineRule="auto"/>
              <w:rPr>
                <w:rFonts w:ascii="Times" w:eastAsia="Batang" w:hAnsi="Times" w:cs="Times New Roman"/>
                <w:sz w:val="20"/>
                <w:szCs w:val="20"/>
                <w:lang w:val="en-GB" w:eastAsia="x-none"/>
              </w:rPr>
            </w:pPr>
          </w:p>
          <w:p w14:paraId="2B4A250F" w14:textId="77777777" w:rsidR="00DC5BFF" w:rsidRPr="00DC5BFF" w:rsidRDefault="00DC5BFF" w:rsidP="00DC5BFF">
            <w:pPr>
              <w:spacing w:after="0" w:line="240" w:lineRule="auto"/>
              <w:rPr>
                <w:rFonts w:ascii="Times" w:eastAsia="宋体" w:hAnsi="Times" w:cs="Times New Roman"/>
                <w:bCs/>
                <w:sz w:val="20"/>
                <w:szCs w:val="20"/>
                <w:lang w:val="en-GB"/>
              </w:rPr>
            </w:pPr>
            <w:r w:rsidRPr="00DC5BFF">
              <w:rPr>
                <w:rFonts w:ascii="Times" w:eastAsia="宋体" w:hAnsi="Times" w:cs="Times New Roman"/>
                <w:bCs/>
                <w:sz w:val="20"/>
                <w:szCs w:val="20"/>
                <w:highlight w:val="green"/>
                <w:lang w:val="en-GB"/>
              </w:rPr>
              <w:t>Agreement</w:t>
            </w:r>
          </w:p>
          <w:p w14:paraId="567C771B" w14:textId="77777777" w:rsidR="00DC5BFF" w:rsidRPr="00DC5BFF" w:rsidRDefault="00DC5BFF" w:rsidP="00DC5BFF">
            <w:pPr>
              <w:spacing w:after="0" w:line="240" w:lineRule="auto"/>
              <w:rPr>
                <w:rFonts w:ascii="Times" w:eastAsia="宋体" w:hAnsi="Times" w:cs="Times New Roman"/>
                <w:bCs/>
                <w:sz w:val="20"/>
                <w:szCs w:val="20"/>
                <w:lang w:val="en-GB"/>
              </w:rPr>
            </w:pPr>
            <w:r w:rsidRPr="00DC5BFF">
              <w:rPr>
                <w:rFonts w:ascii="Times" w:eastAsia="宋体" w:hAnsi="Times" w:cs="Times New Roman"/>
                <w:bCs/>
                <w:sz w:val="20"/>
                <w:szCs w:val="20"/>
                <w:lang w:val="en-GB"/>
              </w:rPr>
              <w:t>The non-U NB-IoT subframes are not considered by the UE as “NB-IoT UL subframes” from the specifications</w:t>
            </w:r>
          </w:p>
          <w:p w14:paraId="7FF22BA9" w14:textId="77777777" w:rsidR="00DC5BFF" w:rsidRPr="00DC5BFF" w:rsidRDefault="00DC5BFF" w:rsidP="00DC5BFF">
            <w:pPr>
              <w:numPr>
                <w:ilvl w:val="0"/>
                <w:numId w:val="16"/>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NPUSCH is mapped as per current specifications.</w:t>
            </w:r>
          </w:p>
          <w:p w14:paraId="0881DEF8" w14:textId="77777777" w:rsidR="00DC5BFF" w:rsidRPr="00DC5BFF" w:rsidRDefault="00DC5BFF" w:rsidP="00DC5BFF">
            <w:pPr>
              <w:numPr>
                <w:ilvl w:val="0"/>
                <w:numId w:val="16"/>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NOTE: “non-U NB-IoT subframes” are subframes not contained within the set of U=8 usable consecutive uplink subframes in the TDD structure.</w:t>
            </w:r>
          </w:p>
          <w:p w14:paraId="79538B36" w14:textId="77777777" w:rsidR="00DC5BFF" w:rsidRPr="00DC5BFF" w:rsidRDefault="00DC5BFF" w:rsidP="00DC5BFF">
            <w:pPr>
              <w:spacing w:after="0" w:line="240" w:lineRule="auto"/>
              <w:rPr>
                <w:rFonts w:ascii="Times" w:eastAsia="Batang" w:hAnsi="Times" w:cs="Times New Roman"/>
                <w:sz w:val="20"/>
                <w:szCs w:val="20"/>
                <w:lang w:val="en-GB" w:eastAsia="en-US"/>
              </w:rPr>
            </w:pPr>
          </w:p>
          <w:p w14:paraId="15107C86" w14:textId="77777777" w:rsidR="00DC5BFF" w:rsidRPr="00DC5BFF" w:rsidRDefault="00DC5BFF" w:rsidP="00DC5BFF">
            <w:pPr>
              <w:spacing w:after="0" w:line="240" w:lineRule="auto"/>
              <w:rPr>
                <w:rFonts w:ascii="Times" w:eastAsia="宋体" w:hAnsi="Times" w:cs="Times New Roman"/>
                <w:bCs/>
                <w:sz w:val="20"/>
                <w:szCs w:val="20"/>
                <w:lang w:val="en-GB"/>
              </w:rPr>
            </w:pPr>
            <w:r w:rsidRPr="00DC5BFF">
              <w:rPr>
                <w:rFonts w:ascii="Times" w:eastAsia="宋体" w:hAnsi="Times" w:cs="Times New Roman"/>
                <w:bCs/>
                <w:sz w:val="20"/>
                <w:szCs w:val="20"/>
                <w:highlight w:val="green"/>
                <w:lang w:val="en-GB"/>
              </w:rPr>
              <w:t>Agreement</w:t>
            </w:r>
          </w:p>
          <w:p w14:paraId="3485D55B" w14:textId="77777777" w:rsidR="00DC5BFF" w:rsidRPr="00DC5BFF" w:rsidRDefault="00DC5BFF" w:rsidP="00DC5BFF">
            <w:pPr>
              <w:spacing w:after="0" w:line="240" w:lineRule="auto"/>
              <w:rPr>
                <w:rFonts w:ascii="Times" w:eastAsia="宋体" w:hAnsi="Times" w:cs="Times New Roman"/>
                <w:bCs/>
                <w:sz w:val="20"/>
                <w:szCs w:val="20"/>
                <w:lang w:val="en-GB"/>
              </w:rPr>
            </w:pPr>
            <w:r w:rsidRPr="00DC5BFF">
              <w:rPr>
                <w:rFonts w:ascii="Times" w:eastAsia="宋体" w:hAnsi="Times" w:cs="Times New Roman"/>
                <w:bCs/>
                <w:sz w:val="20"/>
                <w:szCs w:val="20"/>
                <w:lang w:val="en-GB"/>
              </w:rPr>
              <w:t>The non-D NB-IoT subframes are not considered by the UE as “NB-IoT DL subframes” from the specifications</w:t>
            </w:r>
          </w:p>
          <w:p w14:paraId="0D56D223" w14:textId="77777777" w:rsidR="00DC5BFF" w:rsidRPr="00DC5BFF" w:rsidRDefault="00DC5BFF" w:rsidP="00DC5BFF">
            <w:pPr>
              <w:numPr>
                <w:ilvl w:val="0"/>
                <w:numId w:val="17"/>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NPDCCH / NPDSCH (not containing SI) are mapped as per current specifications.</w:t>
            </w:r>
          </w:p>
          <w:p w14:paraId="56C84688" w14:textId="77777777" w:rsidR="00DC5BFF" w:rsidRPr="00DC5BFF" w:rsidRDefault="00DC5BFF" w:rsidP="00DC5BFF">
            <w:pPr>
              <w:numPr>
                <w:ilvl w:val="0"/>
                <w:numId w:val="17"/>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FFS: additional NB-IoT TDD-specific rules for handling non “NB-IoT DL subframes”</w:t>
            </w:r>
          </w:p>
          <w:p w14:paraId="5C46A3A0" w14:textId="77777777" w:rsidR="00DC5BFF" w:rsidRPr="00DC5BFF" w:rsidRDefault="00DC5BFF" w:rsidP="00DC5BFF">
            <w:pPr>
              <w:numPr>
                <w:ilvl w:val="0"/>
                <w:numId w:val="17"/>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FFS: Introduction of new periodicities for NPDCCH monitoring (e.g. by the introduction of scaling factor)</w:t>
            </w:r>
          </w:p>
          <w:p w14:paraId="1D001143" w14:textId="77777777" w:rsidR="00DC5BFF" w:rsidRPr="00DC5BFF" w:rsidRDefault="00DC5BFF" w:rsidP="00DC5BFF">
            <w:pPr>
              <w:numPr>
                <w:ilvl w:val="0"/>
                <w:numId w:val="17"/>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FFS: whether all the configuration values for NPDCCH are valid for NB-IoT NTN TDD.</w:t>
            </w:r>
          </w:p>
          <w:p w14:paraId="26A2EC8A" w14:textId="77777777" w:rsidR="00DC5BFF" w:rsidRPr="00DC5BFF" w:rsidRDefault="00DC5BFF" w:rsidP="00DC5BFF">
            <w:pPr>
              <w:numPr>
                <w:ilvl w:val="0"/>
                <w:numId w:val="17"/>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Malgun Gothic" w:hAnsi="Times" w:cs="Times New Roman" w:hint="eastAsia"/>
                <w:bCs/>
                <w:sz w:val="20"/>
                <w:szCs w:val="20"/>
                <w:lang w:val="en-GB"/>
              </w:rPr>
              <w:t>F</w:t>
            </w:r>
            <w:r w:rsidRPr="00DC5BFF">
              <w:rPr>
                <w:rFonts w:ascii="Times" w:eastAsia="Malgun Gothic" w:hAnsi="Times" w:cs="Times New Roman"/>
                <w:bCs/>
                <w:sz w:val="20"/>
                <w:szCs w:val="20"/>
                <w:lang w:val="en-GB"/>
              </w:rPr>
              <w:t>FS: handling of DL transmission gap</w:t>
            </w:r>
          </w:p>
          <w:p w14:paraId="5359429F" w14:textId="77777777" w:rsidR="00DC5BFF" w:rsidRPr="00DC5BFF" w:rsidRDefault="00DC5BFF" w:rsidP="00DC5BFF">
            <w:pPr>
              <w:numPr>
                <w:ilvl w:val="0"/>
                <w:numId w:val="17"/>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NOTE: “non-D NB-IoT subframes” are subframes not contained within the set of D=8 usable consecutive downlink subframes in the TDD structure.</w:t>
            </w:r>
          </w:p>
          <w:p w14:paraId="72DED757" w14:textId="77777777" w:rsidR="00DC5BFF" w:rsidRPr="00DC5BFF" w:rsidRDefault="00DC5BFF" w:rsidP="00DC5BFF">
            <w:pPr>
              <w:spacing w:after="0" w:line="240" w:lineRule="auto"/>
              <w:rPr>
                <w:rFonts w:ascii="Times" w:eastAsia="Batang" w:hAnsi="Times" w:cs="Times New Roman"/>
                <w:iCs/>
                <w:color w:val="FF0000"/>
                <w:sz w:val="20"/>
                <w:szCs w:val="24"/>
                <w:lang w:val="en-GB" w:eastAsia="en-US"/>
              </w:rPr>
            </w:pPr>
          </w:p>
          <w:p w14:paraId="69F815B5" w14:textId="77777777" w:rsidR="00DC5BFF" w:rsidRPr="00DC5BFF" w:rsidRDefault="00DC5BFF" w:rsidP="00DC5BFF">
            <w:pPr>
              <w:spacing w:after="0" w:line="240" w:lineRule="auto"/>
              <w:rPr>
                <w:rFonts w:ascii="Times" w:eastAsia="宋体" w:hAnsi="Times" w:cs="Times New Roman"/>
                <w:b/>
                <w:bCs/>
                <w:sz w:val="20"/>
                <w:szCs w:val="20"/>
                <w:lang w:val="en-GB"/>
              </w:rPr>
            </w:pPr>
            <w:r w:rsidRPr="00DC5BFF">
              <w:rPr>
                <w:rFonts w:ascii="Times" w:eastAsia="宋体" w:hAnsi="Times" w:cs="Times New Roman"/>
                <w:b/>
                <w:bCs/>
                <w:sz w:val="20"/>
                <w:szCs w:val="20"/>
                <w:lang w:val="en-GB"/>
              </w:rPr>
              <w:t>Conclusion</w:t>
            </w:r>
          </w:p>
          <w:p w14:paraId="6D65B4F7" w14:textId="77777777" w:rsidR="00DC5BFF" w:rsidRPr="00DC5BFF" w:rsidRDefault="00DC5BFF" w:rsidP="00DC5BFF">
            <w:pPr>
              <w:spacing w:after="0" w:line="240" w:lineRule="auto"/>
              <w:rPr>
                <w:rFonts w:ascii="Times" w:eastAsia="Batang" w:hAnsi="Times" w:cs="Times New Roman"/>
                <w:bCs/>
                <w:sz w:val="20"/>
                <w:szCs w:val="20"/>
                <w:lang w:eastAsia="en-US"/>
              </w:rPr>
            </w:pPr>
            <w:r w:rsidRPr="00DC5BFF">
              <w:rPr>
                <w:rFonts w:ascii="Times" w:eastAsia="宋体" w:hAnsi="Times" w:cs="Times New Roman"/>
                <w:bCs/>
                <w:sz w:val="20"/>
                <w:szCs w:val="20"/>
                <w:lang w:val="en-GB"/>
              </w:rPr>
              <w:t xml:space="preserve">For determining </w:t>
            </w:r>
            <w:r w:rsidRPr="00DC5BFF">
              <w:rPr>
                <w:rFonts w:ascii="Times" w:eastAsia="Batang" w:hAnsi="Times" w:cs="Times New Roman"/>
                <w:bCs/>
                <w:sz w:val="20"/>
                <w:szCs w:val="20"/>
                <w:lang w:eastAsia="en-US"/>
              </w:rPr>
              <w:t>the offset between the 90ms TDD structure and the 10240ms H-SFN: the UE may derive the 90ms TDD structure based on observations of downlink signals.</w:t>
            </w:r>
          </w:p>
          <w:p w14:paraId="71DC5D5D" w14:textId="77777777" w:rsidR="00DC5BFF" w:rsidRPr="00DC5BFF" w:rsidRDefault="00DC5BFF" w:rsidP="00DC5BFF">
            <w:pPr>
              <w:spacing w:after="0" w:line="240" w:lineRule="auto"/>
              <w:rPr>
                <w:rFonts w:ascii="Times" w:eastAsia="Batang" w:hAnsi="Times" w:cs="Times New Roman"/>
                <w:bCs/>
                <w:sz w:val="20"/>
                <w:szCs w:val="20"/>
                <w:lang w:eastAsia="en-US"/>
              </w:rPr>
            </w:pPr>
            <w:r w:rsidRPr="00DC5BFF">
              <w:rPr>
                <w:rFonts w:ascii="Times" w:eastAsia="Batang" w:hAnsi="Times" w:cs="Times New Roman"/>
                <w:bCs/>
                <w:sz w:val="20"/>
                <w:szCs w:val="20"/>
                <w:lang w:eastAsia="en-US"/>
              </w:rPr>
              <w:t>No specification impact.</w:t>
            </w:r>
          </w:p>
          <w:p w14:paraId="2DF6BFE2" w14:textId="77777777" w:rsidR="00DC5BFF" w:rsidRPr="00DC5BFF" w:rsidRDefault="00DC5BFF" w:rsidP="00DC5BFF">
            <w:pPr>
              <w:spacing w:after="0" w:line="240" w:lineRule="auto"/>
              <w:rPr>
                <w:rFonts w:ascii="Times" w:eastAsia="Batang" w:hAnsi="Times" w:cs="Times New Roman"/>
                <w:iCs/>
                <w:color w:val="FF0000"/>
                <w:sz w:val="20"/>
                <w:szCs w:val="24"/>
                <w:lang w:val="en-GB" w:eastAsia="en-US"/>
              </w:rPr>
            </w:pPr>
          </w:p>
          <w:p w14:paraId="6E2C07C2" w14:textId="77777777" w:rsidR="00DC5BFF" w:rsidRPr="00DC5BFF" w:rsidRDefault="00DC5BFF" w:rsidP="00DC5BFF">
            <w:pPr>
              <w:spacing w:after="0" w:line="240" w:lineRule="auto"/>
              <w:rPr>
                <w:rFonts w:ascii="Times" w:eastAsia="宋体" w:hAnsi="Times" w:cs="Times New Roman"/>
                <w:bCs/>
                <w:sz w:val="20"/>
                <w:szCs w:val="24"/>
                <w:lang w:val="en-GB"/>
              </w:rPr>
            </w:pPr>
            <w:r w:rsidRPr="00DC5BFF">
              <w:rPr>
                <w:rFonts w:ascii="Times" w:eastAsia="宋体" w:hAnsi="Times" w:cs="Times New Roman"/>
                <w:bCs/>
                <w:sz w:val="20"/>
                <w:szCs w:val="24"/>
                <w:highlight w:val="green"/>
                <w:lang w:val="en-GB"/>
              </w:rPr>
              <w:t>Agreement</w:t>
            </w:r>
          </w:p>
          <w:p w14:paraId="2A328255" w14:textId="77777777" w:rsidR="00DC5BFF" w:rsidRPr="00DC5BFF" w:rsidRDefault="00DC5BFF" w:rsidP="00DC5BFF">
            <w:pPr>
              <w:spacing w:after="0" w:line="240" w:lineRule="auto"/>
              <w:rPr>
                <w:rFonts w:ascii="Times" w:eastAsia="宋体" w:hAnsi="Times" w:cs="Times New Roman"/>
                <w:bCs/>
                <w:sz w:val="20"/>
                <w:szCs w:val="24"/>
                <w:lang w:val="en-GB"/>
              </w:rPr>
            </w:pPr>
            <w:r w:rsidRPr="00DC5BFF">
              <w:rPr>
                <w:rFonts w:ascii="Times" w:eastAsia="宋体" w:hAnsi="Times" w:cs="Times New Roman"/>
                <w:bCs/>
                <w:sz w:val="20"/>
                <w:szCs w:val="24"/>
                <w:lang w:val="en-GB"/>
              </w:rPr>
              <w:t>For NPRACH, further consider the two options until RAN1#120bis:</w:t>
            </w:r>
          </w:p>
          <w:p w14:paraId="6EBEBD3C" w14:textId="77777777" w:rsidR="00DC5BFF" w:rsidRPr="00DC5BFF" w:rsidRDefault="00DC5BFF" w:rsidP="00DC5BFF">
            <w:pPr>
              <w:numPr>
                <w:ilvl w:val="0"/>
                <w:numId w:val="18"/>
              </w:numPr>
              <w:overflowPunct w:val="0"/>
              <w:autoSpaceDE w:val="0"/>
              <w:autoSpaceDN w:val="0"/>
              <w:adjustRightInd w:val="0"/>
              <w:spacing w:after="0" w:line="240" w:lineRule="auto"/>
              <w:contextualSpacing/>
              <w:textAlignment w:val="baseline"/>
              <w:rPr>
                <w:rFonts w:ascii="Times" w:eastAsia="Batang" w:hAnsi="Times" w:cs="Times New Roman"/>
                <w:bCs/>
                <w:sz w:val="20"/>
                <w:szCs w:val="24"/>
                <w:lang w:val="en-GB"/>
              </w:rPr>
            </w:pPr>
            <w:r w:rsidRPr="00DC5BFF">
              <w:rPr>
                <w:rFonts w:ascii="Times" w:eastAsia="Batang" w:hAnsi="Times" w:cs="Times New Roman"/>
                <w:bCs/>
                <w:sz w:val="20"/>
                <w:szCs w:val="24"/>
                <w:lang w:val="en-GB"/>
              </w:rPr>
              <w:t>Option 1: New NPRACH periodicities (multiple of 90ms) are introduced for NB-IoT NTN TDD.</w:t>
            </w:r>
          </w:p>
          <w:p w14:paraId="266E9624" w14:textId="77777777" w:rsidR="00DC5BFF" w:rsidRPr="00DC5BFF" w:rsidRDefault="00DC5BFF" w:rsidP="00DC5BFF">
            <w:pPr>
              <w:numPr>
                <w:ilvl w:val="0"/>
                <w:numId w:val="18"/>
              </w:numPr>
              <w:overflowPunct w:val="0"/>
              <w:autoSpaceDE w:val="0"/>
              <w:autoSpaceDN w:val="0"/>
              <w:adjustRightInd w:val="0"/>
              <w:spacing w:after="0" w:line="240" w:lineRule="auto"/>
              <w:contextualSpacing/>
              <w:textAlignment w:val="baseline"/>
              <w:rPr>
                <w:rFonts w:ascii="Times" w:eastAsia="Batang" w:hAnsi="Times" w:cs="Times New Roman"/>
                <w:bCs/>
                <w:sz w:val="20"/>
                <w:szCs w:val="24"/>
                <w:lang w:val="en-GB"/>
              </w:rPr>
            </w:pPr>
            <w:r w:rsidRPr="00DC5BFF">
              <w:rPr>
                <w:rFonts w:ascii="Times" w:eastAsia="Batang" w:hAnsi="Times" w:cs="Times New Roman"/>
                <w:bCs/>
                <w:sz w:val="20"/>
                <w:szCs w:val="24"/>
                <w:lang w:val="en-GB"/>
              </w:rPr>
              <w:lastRenderedPageBreak/>
              <w:t>Option 2: NPRACH transmissions are postponed in non-U NB-IoT subframes until the next U NB-IoT subframe(s)</w:t>
            </w:r>
          </w:p>
          <w:p w14:paraId="7B82B9EB" w14:textId="77777777" w:rsidR="00DC5BFF" w:rsidRPr="00DC5BFF" w:rsidRDefault="00DC5BFF" w:rsidP="00DC5BFF">
            <w:pPr>
              <w:numPr>
                <w:ilvl w:val="1"/>
                <w:numId w:val="18"/>
              </w:numPr>
              <w:overflowPunct w:val="0"/>
              <w:autoSpaceDE w:val="0"/>
              <w:autoSpaceDN w:val="0"/>
              <w:adjustRightInd w:val="0"/>
              <w:spacing w:after="0" w:line="240" w:lineRule="auto"/>
              <w:contextualSpacing/>
              <w:textAlignment w:val="baseline"/>
              <w:rPr>
                <w:rFonts w:ascii="Times" w:eastAsia="Batang" w:hAnsi="Times" w:cs="Times New Roman"/>
                <w:bCs/>
                <w:sz w:val="20"/>
                <w:szCs w:val="24"/>
                <w:lang w:val="en-GB"/>
              </w:rPr>
            </w:pPr>
            <w:r w:rsidRPr="00DC5BFF">
              <w:rPr>
                <w:rFonts w:ascii="Times" w:eastAsia="Batang" w:hAnsi="Times" w:cs="Times New Roman"/>
                <w:bCs/>
                <w:sz w:val="20"/>
                <w:szCs w:val="24"/>
                <w:lang w:val="en-GB"/>
              </w:rPr>
              <w:t xml:space="preserve">FFS: The unit of postponement (e.g. </w:t>
            </w:r>
            <w:r w:rsidRPr="00DC5BFF">
              <w:rPr>
                <w:rFonts w:ascii="Times" w:eastAsia="Batang" w:hAnsi="Times" w:cs="Times New Roman"/>
                <w:bCs/>
                <w:iCs/>
                <w:sz w:val="20"/>
                <w:szCs w:val="24"/>
                <w:lang w:val="en-GB"/>
              </w:rPr>
              <w:t>PRU)</w:t>
            </w:r>
          </w:p>
          <w:p w14:paraId="61235A37" w14:textId="77777777" w:rsidR="00DC5BFF" w:rsidRPr="00DC5BFF" w:rsidRDefault="00DC5BFF" w:rsidP="00DC5BFF">
            <w:pPr>
              <w:overflowPunct w:val="0"/>
              <w:autoSpaceDE w:val="0"/>
              <w:autoSpaceDN w:val="0"/>
              <w:adjustRightInd w:val="0"/>
              <w:spacing w:after="0" w:line="240" w:lineRule="auto"/>
              <w:contextualSpacing/>
              <w:textAlignment w:val="baseline"/>
              <w:rPr>
                <w:rFonts w:ascii="Times" w:eastAsia="Malgun Gothic" w:hAnsi="Times" w:cs="Times New Roman"/>
                <w:bCs/>
                <w:sz w:val="24"/>
                <w:szCs w:val="24"/>
                <w:lang w:val="en-GB"/>
              </w:rPr>
            </w:pPr>
          </w:p>
          <w:p w14:paraId="2448D4E9" w14:textId="77777777" w:rsidR="00DC5BFF" w:rsidRPr="00DC5BFF" w:rsidRDefault="00DC5BFF" w:rsidP="00DC5BFF">
            <w:pPr>
              <w:spacing w:after="0" w:line="240" w:lineRule="auto"/>
              <w:rPr>
                <w:rFonts w:ascii="Times" w:eastAsia="宋体" w:hAnsi="Times" w:cs="Times New Roman"/>
                <w:bCs/>
                <w:sz w:val="20"/>
                <w:szCs w:val="24"/>
                <w:lang w:val="en-GB"/>
              </w:rPr>
            </w:pPr>
            <w:r w:rsidRPr="00DC5BFF">
              <w:rPr>
                <w:rFonts w:ascii="Times" w:eastAsia="宋体" w:hAnsi="Times" w:cs="Times New Roman"/>
                <w:bCs/>
                <w:sz w:val="20"/>
                <w:szCs w:val="24"/>
                <w:highlight w:val="green"/>
                <w:lang w:val="en-GB"/>
              </w:rPr>
              <w:t>Agreement</w:t>
            </w:r>
          </w:p>
          <w:p w14:paraId="191CBBD3" w14:textId="77777777" w:rsidR="00DC5BFF" w:rsidRPr="00DC5BFF" w:rsidRDefault="00DC5BFF" w:rsidP="00DC5BFF">
            <w:pPr>
              <w:overflowPunct w:val="0"/>
              <w:autoSpaceDE w:val="0"/>
              <w:autoSpaceDN w:val="0"/>
              <w:adjustRightInd w:val="0"/>
              <w:spacing w:after="0" w:line="240" w:lineRule="auto"/>
              <w:contextualSpacing/>
              <w:textAlignment w:val="baseline"/>
              <w:rPr>
                <w:rFonts w:ascii="Times" w:eastAsia="Malgun Gothic" w:hAnsi="Times" w:cs="Times New Roman"/>
                <w:bCs/>
                <w:sz w:val="24"/>
                <w:szCs w:val="24"/>
                <w:lang w:val="en-GB"/>
              </w:rPr>
            </w:pPr>
            <w:r w:rsidRPr="00DC5BFF">
              <w:rPr>
                <w:rFonts w:ascii="Times" w:eastAsia="Batang" w:hAnsi="Times" w:cs="Times New Roman"/>
                <w:bCs/>
                <w:sz w:val="20"/>
                <w:szCs w:val="24"/>
                <w:lang w:val="en-GB" w:eastAsia="en-US"/>
              </w:rPr>
              <w:t>NPRACH format 2 is not supported in NB-IoT NTN TDD.</w:t>
            </w:r>
          </w:p>
          <w:p w14:paraId="7E5E4492" w14:textId="77777777" w:rsidR="00DC5BFF" w:rsidRPr="00DC5BFF" w:rsidRDefault="00DC5BFF" w:rsidP="00DC5BFF">
            <w:pPr>
              <w:overflowPunct w:val="0"/>
              <w:autoSpaceDE w:val="0"/>
              <w:autoSpaceDN w:val="0"/>
              <w:adjustRightInd w:val="0"/>
              <w:spacing w:after="0" w:line="240" w:lineRule="auto"/>
              <w:contextualSpacing/>
              <w:textAlignment w:val="baseline"/>
              <w:rPr>
                <w:rFonts w:ascii="Times" w:eastAsia="Malgun Gothic" w:hAnsi="Times" w:cs="Times New Roman"/>
                <w:bCs/>
                <w:sz w:val="24"/>
                <w:szCs w:val="24"/>
                <w:lang w:val="en-GB"/>
              </w:rPr>
            </w:pPr>
          </w:p>
          <w:p w14:paraId="01799AB7" w14:textId="77777777" w:rsidR="00DC5BFF" w:rsidRPr="00DC5BFF" w:rsidRDefault="00DC5BFF" w:rsidP="00DC5BFF">
            <w:pPr>
              <w:overflowPunct w:val="0"/>
              <w:autoSpaceDE w:val="0"/>
              <w:autoSpaceDN w:val="0"/>
              <w:adjustRightInd w:val="0"/>
              <w:spacing w:after="0" w:line="240" w:lineRule="auto"/>
              <w:contextualSpacing/>
              <w:textAlignment w:val="baseline"/>
              <w:rPr>
                <w:rFonts w:ascii="Times" w:eastAsia="Malgun Gothic" w:hAnsi="Times" w:cs="Times New Roman"/>
                <w:bCs/>
                <w:sz w:val="20"/>
                <w:szCs w:val="24"/>
                <w:lang w:val="en-GB"/>
              </w:rPr>
            </w:pPr>
            <w:r w:rsidRPr="00DC5BFF">
              <w:rPr>
                <w:rFonts w:ascii="Times" w:eastAsia="Malgun Gothic" w:hAnsi="Times" w:cs="Times New Roman"/>
                <w:bCs/>
                <w:sz w:val="20"/>
                <w:szCs w:val="24"/>
                <w:highlight w:val="darkYellow"/>
                <w:lang w:val="en-GB"/>
              </w:rPr>
              <w:t>Working assumption</w:t>
            </w:r>
          </w:p>
          <w:p w14:paraId="313113C1" w14:textId="77777777" w:rsidR="00DC5BFF" w:rsidRPr="00DC5BFF" w:rsidRDefault="00DC5BFF" w:rsidP="00DC5BFF">
            <w:pPr>
              <w:overflowPunct w:val="0"/>
              <w:autoSpaceDE w:val="0"/>
              <w:autoSpaceDN w:val="0"/>
              <w:adjustRightInd w:val="0"/>
              <w:spacing w:after="0" w:line="240" w:lineRule="auto"/>
              <w:contextualSpacing/>
              <w:textAlignment w:val="baseline"/>
              <w:rPr>
                <w:rFonts w:ascii="Times" w:eastAsia="Malgun Gothic" w:hAnsi="Times" w:cs="Times New Roman"/>
                <w:bCs/>
                <w:sz w:val="24"/>
                <w:szCs w:val="24"/>
                <w:lang w:val="en-GB"/>
              </w:rPr>
            </w:pPr>
            <w:r w:rsidRPr="00DC5BFF">
              <w:rPr>
                <w:rFonts w:ascii="Times New Roman" w:eastAsia="Times New Roman" w:hAnsi="Times New Roman" w:cs="Times New Roman"/>
                <w:bCs/>
                <w:sz w:val="20"/>
                <w:szCs w:val="24"/>
                <w:lang w:val="en-GB" w:eastAsia="en-US"/>
              </w:rPr>
              <w:t>Uplink transmission gaps do not apply in NB-IoT NTN TDD.</w:t>
            </w:r>
          </w:p>
          <w:p w14:paraId="42CFB293" w14:textId="77777777" w:rsidR="00DC5BFF" w:rsidRPr="00DC5BFF" w:rsidRDefault="00DC5BFF" w:rsidP="00DC5BFF">
            <w:pPr>
              <w:overflowPunct w:val="0"/>
              <w:autoSpaceDE w:val="0"/>
              <w:autoSpaceDN w:val="0"/>
              <w:adjustRightInd w:val="0"/>
              <w:spacing w:after="0" w:line="240" w:lineRule="auto"/>
              <w:contextualSpacing/>
              <w:textAlignment w:val="baseline"/>
              <w:rPr>
                <w:rFonts w:ascii="Times" w:eastAsia="Malgun Gothic" w:hAnsi="Times" w:cs="Times New Roman"/>
                <w:bCs/>
                <w:sz w:val="24"/>
                <w:szCs w:val="24"/>
                <w:lang w:val="en-GB"/>
              </w:rPr>
            </w:pPr>
          </w:p>
          <w:p w14:paraId="3502801E" w14:textId="77777777" w:rsidR="00DC5BFF" w:rsidRPr="00DC5BFF" w:rsidRDefault="00DC5BFF" w:rsidP="00DC5BFF">
            <w:pPr>
              <w:overflowPunct w:val="0"/>
              <w:autoSpaceDE w:val="0"/>
              <w:autoSpaceDN w:val="0"/>
              <w:adjustRightInd w:val="0"/>
              <w:spacing w:after="0" w:line="240" w:lineRule="auto"/>
              <w:contextualSpacing/>
              <w:textAlignment w:val="baseline"/>
              <w:rPr>
                <w:rFonts w:ascii="Times New Roman" w:eastAsia="Times New Roman" w:hAnsi="Times New Roman" w:cs="Times New Roman"/>
                <w:b/>
                <w:bCs/>
                <w:sz w:val="20"/>
                <w:szCs w:val="24"/>
                <w:lang w:val="en-GB" w:eastAsia="en-US"/>
              </w:rPr>
            </w:pPr>
            <w:r w:rsidRPr="00DC5BFF">
              <w:rPr>
                <w:rFonts w:ascii="Times New Roman" w:eastAsia="Times New Roman" w:hAnsi="Times New Roman" w:cs="Times New Roman"/>
                <w:b/>
                <w:bCs/>
                <w:sz w:val="20"/>
                <w:szCs w:val="24"/>
                <w:lang w:val="en-GB" w:eastAsia="en-US"/>
              </w:rPr>
              <w:t>Conclusion</w:t>
            </w:r>
          </w:p>
          <w:p w14:paraId="3BF9BE70" w14:textId="77777777" w:rsidR="00DC5BFF" w:rsidRPr="00DC5BFF" w:rsidRDefault="00DC5BFF" w:rsidP="00DC5BFF">
            <w:pPr>
              <w:overflowPunct w:val="0"/>
              <w:autoSpaceDE w:val="0"/>
              <w:autoSpaceDN w:val="0"/>
              <w:adjustRightInd w:val="0"/>
              <w:spacing w:after="0" w:line="240" w:lineRule="auto"/>
              <w:contextualSpacing/>
              <w:textAlignment w:val="baseline"/>
              <w:rPr>
                <w:rFonts w:ascii="Times" w:eastAsia="Malgun Gothic" w:hAnsi="Times" w:cs="Times New Roman"/>
                <w:bCs/>
                <w:sz w:val="24"/>
                <w:szCs w:val="24"/>
                <w:lang w:val="en-GB"/>
              </w:rPr>
            </w:pPr>
            <w:r w:rsidRPr="00DC5BFF">
              <w:rPr>
                <w:rFonts w:ascii="Times New Roman" w:eastAsia="Times New Roman" w:hAnsi="Times New Roman" w:cs="Times New Roman"/>
                <w:bCs/>
                <w:sz w:val="20"/>
                <w:szCs w:val="24"/>
                <w:lang w:val="en-GB" w:eastAsia="en-US"/>
              </w:rPr>
              <w:t>RAN1 does not further discuss the issue of Kmac extension unless triggered by RAN2 LS.</w:t>
            </w:r>
          </w:p>
          <w:p w14:paraId="3520C139" w14:textId="77777777" w:rsidR="00DC5BFF" w:rsidRPr="00DC5BFF" w:rsidRDefault="00DC5BFF" w:rsidP="00DC5BFF">
            <w:pPr>
              <w:overflowPunct w:val="0"/>
              <w:autoSpaceDE w:val="0"/>
              <w:autoSpaceDN w:val="0"/>
              <w:adjustRightInd w:val="0"/>
              <w:spacing w:after="0" w:line="240" w:lineRule="auto"/>
              <w:contextualSpacing/>
              <w:textAlignment w:val="baseline"/>
              <w:rPr>
                <w:rFonts w:ascii="Times" w:eastAsia="Malgun Gothic" w:hAnsi="Times" w:cs="Times New Roman"/>
                <w:bCs/>
                <w:sz w:val="20"/>
                <w:szCs w:val="24"/>
                <w:lang w:val="en-GB"/>
              </w:rPr>
            </w:pPr>
          </w:p>
          <w:p w14:paraId="44A17F99" w14:textId="77777777" w:rsidR="00DC5BFF" w:rsidRPr="00DC5BFF" w:rsidRDefault="00DC5BFF" w:rsidP="00DC5BFF">
            <w:pPr>
              <w:overflowPunct w:val="0"/>
              <w:autoSpaceDE w:val="0"/>
              <w:autoSpaceDN w:val="0"/>
              <w:adjustRightInd w:val="0"/>
              <w:spacing w:after="0" w:line="240" w:lineRule="auto"/>
              <w:contextualSpacing/>
              <w:textAlignment w:val="baseline"/>
              <w:rPr>
                <w:rFonts w:ascii="Times" w:eastAsia="Malgun Gothic" w:hAnsi="Times" w:cs="Times New Roman"/>
                <w:b/>
                <w:bCs/>
                <w:sz w:val="20"/>
                <w:szCs w:val="24"/>
                <w:lang w:val="en-GB"/>
              </w:rPr>
            </w:pPr>
            <w:r w:rsidRPr="00DC5BFF">
              <w:rPr>
                <w:rFonts w:ascii="Times" w:eastAsia="Malgun Gothic" w:hAnsi="Times" w:cs="Times New Roman"/>
                <w:b/>
                <w:bCs/>
                <w:sz w:val="20"/>
                <w:szCs w:val="24"/>
                <w:lang w:val="en-GB"/>
              </w:rPr>
              <w:t>Conclusion</w:t>
            </w:r>
          </w:p>
          <w:p w14:paraId="02A8ECE6" w14:textId="77777777" w:rsidR="00DC5BFF" w:rsidRPr="00DC5BFF" w:rsidRDefault="00DC5BFF" w:rsidP="00DC5BFF">
            <w:pPr>
              <w:overflowPunct w:val="0"/>
              <w:autoSpaceDE w:val="0"/>
              <w:autoSpaceDN w:val="0"/>
              <w:adjustRightInd w:val="0"/>
              <w:spacing w:after="0" w:line="240" w:lineRule="auto"/>
              <w:contextualSpacing/>
              <w:textAlignment w:val="baseline"/>
              <w:rPr>
                <w:rFonts w:ascii="Times" w:eastAsia="Malgun Gothic" w:hAnsi="Times" w:cs="Times New Roman"/>
                <w:bCs/>
                <w:sz w:val="20"/>
                <w:szCs w:val="24"/>
                <w:lang w:val="en-GB"/>
              </w:rPr>
            </w:pPr>
            <w:r w:rsidRPr="00DC5BFF">
              <w:rPr>
                <w:rFonts w:ascii="Times" w:eastAsia="Batang" w:hAnsi="Times" w:cs="Times New Roman"/>
                <w:sz w:val="20"/>
                <w:szCs w:val="24"/>
                <w:lang w:eastAsia="en-US"/>
              </w:rPr>
              <w:t>It is RAN1’s understanding that the issue of scheduling and transmitting SI messages in the presence of non-D subframes will be solved mainly (or completely) by RAN2 specifications. RAN1 may discuss potential impact on RAN1 specifications, if any.</w:t>
            </w:r>
          </w:p>
          <w:p w14:paraId="2594DEA4" w14:textId="77777777" w:rsidR="00DC5BFF" w:rsidRPr="00DC5BFF" w:rsidRDefault="00DC5BFF" w:rsidP="00DC5BFF">
            <w:pPr>
              <w:overflowPunct w:val="0"/>
              <w:autoSpaceDE w:val="0"/>
              <w:autoSpaceDN w:val="0"/>
              <w:adjustRightInd w:val="0"/>
              <w:spacing w:after="0" w:line="240" w:lineRule="auto"/>
              <w:contextualSpacing/>
              <w:textAlignment w:val="baseline"/>
              <w:rPr>
                <w:rFonts w:ascii="Times" w:eastAsia="Malgun Gothic" w:hAnsi="Times" w:cs="Times New Roman"/>
                <w:bCs/>
                <w:sz w:val="20"/>
                <w:szCs w:val="24"/>
                <w:lang w:val="en-GB"/>
              </w:rPr>
            </w:pPr>
          </w:p>
          <w:p w14:paraId="5B2DFE10" w14:textId="77777777" w:rsidR="00DC5BFF" w:rsidRPr="00DC5BFF" w:rsidRDefault="00DC5BFF" w:rsidP="00DC5BFF">
            <w:pPr>
              <w:spacing w:after="0" w:line="240" w:lineRule="auto"/>
              <w:rPr>
                <w:rFonts w:ascii="Times" w:eastAsia="宋体" w:hAnsi="Times" w:cs="Times New Roman"/>
                <w:bCs/>
                <w:sz w:val="20"/>
                <w:szCs w:val="20"/>
                <w:lang w:val="en-GB"/>
              </w:rPr>
            </w:pPr>
            <w:r w:rsidRPr="00DC5BFF">
              <w:rPr>
                <w:rFonts w:ascii="Times" w:eastAsia="宋体" w:hAnsi="Times" w:cs="Times New Roman"/>
                <w:bCs/>
                <w:sz w:val="20"/>
                <w:szCs w:val="20"/>
                <w:highlight w:val="green"/>
                <w:lang w:val="en-GB"/>
              </w:rPr>
              <w:t>Agreement</w:t>
            </w:r>
          </w:p>
          <w:p w14:paraId="0E789D68" w14:textId="77777777" w:rsidR="00DC5BFF" w:rsidRPr="00DC5BFF" w:rsidRDefault="00DC5BFF" w:rsidP="00DC5BFF">
            <w:pPr>
              <w:spacing w:after="0" w:line="240" w:lineRule="auto"/>
              <w:rPr>
                <w:rFonts w:ascii="Times" w:eastAsia="宋体" w:hAnsi="Times" w:cs="Times New Roman"/>
                <w:bCs/>
                <w:sz w:val="20"/>
                <w:szCs w:val="20"/>
                <w:lang w:val="en-GB"/>
              </w:rPr>
            </w:pPr>
            <w:r w:rsidRPr="00DC5BFF">
              <w:rPr>
                <w:rFonts w:ascii="Times" w:eastAsia="宋体" w:hAnsi="Times" w:cs="Times New Roman"/>
                <w:bCs/>
                <w:sz w:val="20"/>
                <w:szCs w:val="20"/>
                <w:lang w:val="en-GB"/>
              </w:rPr>
              <w:t>For segmented pre-compensation, RAN1 to further discuss at least the following options:</w:t>
            </w:r>
          </w:p>
          <w:p w14:paraId="443B6058" w14:textId="77777777" w:rsidR="00DC5BFF" w:rsidRPr="00DC5BFF" w:rsidRDefault="00DC5BFF" w:rsidP="00DC5BFF">
            <w:pPr>
              <w:numPr>
                <w:ilvl w:val="0"/>
                <w:numId w:val="19"/>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Option 1: Dropped/postponed NPUSCH / NPRACH are counted for segment determination</w:t>
            </w:r>
          </w:p>
          <w:p w14:paraId="34EBE756" w14:textId="77777777" w:rsidR="00DC5BFF" w:rsidRPr="00DC5BFF" w:rsidRDefault="00DC5BFF" w:rsidP="00DC5BFF">
            <w:pPr>
              <w:numPr>
                <w:ilvl w:val="0"/>
                <w:numId w:val="19"/>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Option 2: A new pre-compensation segment is started at the beginning of each uplink burst</w:t>
            </w:r>
          </w:p>
          <w:p w14:paraId="5916A023" w14:textId="77777777" w:rsidR="00DC5BFF" w:rsidRPr="00DC5BFF" w:rsidRDefault="00DC5BFF" w:rsidP="00DC5BFF">
            <w:pPr>
              <w:numPr>
                <w:ilvl w:val="0"/>
                <w:numId w:val="19"/>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 xml:space="preserve">Option 3: </w:t>
            </w:r>
            <w:r w:rsidRPr="00DC5BFF">
              <w:rPr>
                <w:rFonts w:ascii="Times" w:eastAsia="Batang" w:hAnsi="Times" w:cs="Times New Roman" w:hint="eastAsia"/>
                <w:bCs/>
                <w:sz w:val="20"/>
                <w:szCs w:val="20"/>
                <w:lang w:val="en-GB"/>
              </w:rPr>
              <w:t>UL segment should only be defined in consecutive U subframes</w:t>
            </w:r>
          </w:p>
          <w:p w14:paraId="540A4D02" w14:textId="77777777" w:rsidR="00DC5BFF" w:rsidRPr="00DC5BFF" w:rsidRDefault="00DC5BFF" w:rsidP="00DC5BFF">
            <w:pPr>
              <w:numPr>
                <w:ilvl w:val="0"/>
                <w:numId w:val="19"/>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Option 4: Segmented pre-compensation does not apply for NB-IoT NTN TDD.</w:t>
            </w:r>
          </w:p>
          <w:p w14:paraId="0095A968" w14:textId="7A3E5B43" w:rsidR="002E1AF0" w:rsidRPr="00DC5BFF" w:rsidRDefault="00DC5BFF" w:rsidP="00DC5BFF">
            <w:pPr>
              <w:numPr>
                <w:ilvl w:val="0"/>
                <w:numId w:val="19"/>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FFS: How to handle the UL segment gap</w:t>
            </w:r>
          </w:p>
        </w:tc>
      </w:tr>
    </w:tbl>
    <w:p w14:paraId="3DA44AAC" w14:textId="2FCC0199" w:rsidR="007323A9" w:rsidRDefault="002E467D">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In this contribution, </w:t>
      </w:r>
      <w:r>
        <w:rPr>
          <w:rFonts w:ascii="Times New Roman" w:eastAsia="宋体" w:hAnsi="Times New Roman" w:cs="Times New Roman"/>
          <w:sz w:val="20"/>
          <w:szCs w:val="20"/>
        </w:rPr>
        <w:t xml:space="preserve">the </w:t>
      </w:r>
      <w:r w:rsidR="00A9181A">
        <w:rPr>
          <w:rFonts w:ascii="Times New Roman" w:eastAsia="宋体" w:hAnsi="Times New Roman" w:cs="Times New Roman"/>
          <w:sz w:val="20"/>
          <w:szCs w:val="20"/>
        </w:rPr>
        <w:t>remaining</w:t>
      </w:r>
      <w:r>
        <w:rPr>
          <w:rFonts w:ascii="Times New Roman" w:eastAsia="宋体" w:hAnsi="Times New Roman" w:cs="Times New Roman"/>
          <w:sz w:val="20"/>
          <w:szCs w:val="20"/>
        </w:rPr>
        <w:t xml:space="preserve"> issues for IoT-NTN TDD mode are elaborated </w:t>
      </w:r>
      <w:r w:rsidR="00A9181A">
        <w:rPr>
          <w:rFonts w:ascii="Times New Roman" w:eastAsia="宋体" w:hAnsi="Times New Roman" w:cs="Times New Roman"/>
          <w:sz w:val="20"/>
          <w:szCs w:val="20"/>
        </w:rPr>
        <w:t>with detailed analysis</w:t>
      </w:r>
      <w:r>
        <w:rPr>
          <w:rFonts w:ascii="Times New Roman" w:eastAsia="宋体" w:hAnsi="Times New Roman" w:cs="Times New Roman"/>
          <w:sz w:val="20"/>
          <w:szCs w:val="20"/>
        </w:rPr>
        <w:t>.</w:t>
      </w:r>
    </w:p>
    <w:p w14:paraId="59AA9224" w14:textId="0E254314" w:rsidR="007323A9" w:rsidRDefault="002A015E">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sidR="008E5479">
        <w:rPr>
          <w:rFonts w:eastAsia="黑体" w:cs="Times New Roman"/>
          <w:b/>
          <w:bCs/>
          <w:sz w:val="28"/>
          <w:szCs w:val="30"/>
          <w:lang w:val="en-US"/>
        </w:rPr>
        <w:t>DL transmission</w:t>
      </w:r>
    </w:p>
    <w:p w14:paraId="7FB5453E" w14:textId="1FCCE30E" w:rsidR="007323A9" w:rsidRDefault="008E5479" w:rsidP="004E0F33">
      <w:pPr>
        <w:pStyle w:val="2"/>
        <w:numPr>
          <w:ilvl w:val="1"/>
          <w:numId w:val="3"/>
        </w:numPr>
        <w:spacing w:before="0" w:after="0"/>
        <w:rPr>
          <w:rFonts w:cs="Times New Roman"/>
          <w:bCs/>
          <w:sz w:val="20"/>
          <w:szCs w:val="20"/>
        </w:rPr>
      </w:pPr>
      <w:r>
        <w:rPr>
          <w:rFonts w:ascii="Times New Roman" w:hAnsi="Times New Roman" w:cs="Times New Roman"/>
          <w:sz w:val="20"/>
          <w:szCs w:val="20"/>
        </w:rPr>
        <w:t>SIB1-NB</w:t>
      </w:r>
    </w:p>
    <w:p w14:paraId="3E661515" w14:textId="6D801144" w:rsidR="001C1C4D" w:rsidRDefault="002E467D">
      <w:pPr>
        <w:jc w:val="both"/>
        <w:rPr>
          <w:rFonts w:ascii="Times" w:eastAsia="宋体" w:hAnsi="Times" w:cs="Times New Roman"/>
          <w:bCs/>
          <w:sz w:val="20"/>
          <w:szCs w:val="20"/>
          <w:lang w:val="en-GB"/>
        </w:rPr>
      </w:pPr>
      <w:r>
        <w:rPr>
          <w:rFonts w:ascii="Times New Roman" w:eastAsia="宋体" w:hAnsi="Times New Roman" w:cs="Times New Roman"/>
          <w:sz w:val="20"/>
        </w:rPr>
        <w:t xml:space="preserve">In </w:t>
      </w:r>
      <w:r w:rsidR="001C1C4D">
        <w:rPr>
          <w:rFonts w:ascii="Times New Roman" w:eastAsia="宋体" w:hAnsi="Times New Roman" w:cs="Times New Roman"/>
          <w:sz w:val="20"/>
        </w:rPr>
        <w:t>RAN1#1</w:t>
      </w:r>
      <w:r w:rsidR="0085763E">
        <w:rPr>
          <w:rFonts w:ascii="Times New Roman" w:eastAsia="宋体" w:hAnsi="Times New Roman" w:cs="Times New Roman"/>
          <w:sz w:val="20"/>
        </w:rPr>
        <w:t>20</w:t>
      </w:r>
      <w:r>
        <w:rPr>
          <w:rFonts w:ascii="Times New Roman" w:eastAsia="宋体" w:hAnsi="Times New Roman" w:cs="Times New Roman"/>
          <w:sz w:val="20"/>
        </w:rPr>
        <w:t xml:space="preserve">, </w:t>
      </w:r>
      <w:r w:rsidR="0085763E">
        <w:rPr>
          <w:rFonts w:ascii="Times New Roman" w:eastAsia="宋体" w:hAnsi="Times New Roman" w:cs="Times New Roman"/>
          <w:sz w:val="20"/>
        </w:rPr>
        <w:t xml:space="preserve">it was agreed that </w:t>
      </w:r>
      <w:r w:rsidR="0085763E" w:rsidRPr="00DC5BFF">
        <w:rPr>
          <w:rFonts w:ascii="Times" w:eastAsia="宋体" w:hAnsi="Times" w:cs="Times New Roman"/>
          <w:bCs/>
          <w:sz w:val="20"/>
          <w:szCs w:val="20"/>
          <w:lang w:val="en-GB"/>
        </w:rPr>
        <w:t>NPSS/NSSS/NPBCH transmissions are dropped in non-D NB-IoT subframes</w:t>
      </w:r>
      <w:r w:rsidR="0085763E">
        <w:rPr>
          <w:rFonts w:ascii="Times" w:eastAsia="宋体" w:hAnsi="Times" w:cs="Times New Roman"/>
          <w:bCs/>
          <w:sz w:val="20"/>
          <w:szCs w:val="20"/>
          <w:lang w:val="en-GB"/>
        </w:rPr>
        <w:t>, while the handling of SIB1-NB is FFS.</w:t>
      </w:r>
    </w:p>
    <w:p w14:paraId="652349F9" w14:textId="3C2C2D41" w:rsidR="00353012" w:rsidRDefault="00837DCB">
      <w:pPr>
        <w:jc w:val="both"/>
        <w:rPr>
          <w:rFonts w:ascii="Times New Roman" w:eastAsia="宋体" w:hAnsi="Times New Roman" w:cs="Times New Roman"/>
          <w:sz w:val="20"/>
        </w:rPr>
      </w:pPr>
      <w:r>
        <w:rPr>
          <w:rFonts w:ascii="Times New Roman" w:eastAsia="宋体" w:hAnsi="Times New Roman" w:cs="Times New Roman"/>
          <w:sz w:val="20"/>
          <w:lang w:val="en-GB"/>
        </w:rPr>
        <w:t xml:space="preserve">SIB1-NB reception has been studied during study phase. </w:t>
      </w:r>
      <w:r w:rsidR="00597B66">
        <w:rPr>
          <w:rFonts w:ascii="Times New Roman" w:eastAsia="宋体" w:hAnsi="Times New Roman" w:cs="Times New Roman"/>
          <w:sz w:val="20"/>
        </w:rPr>
        <w:t xml:space="preserve">In current specification, SIB1-NB </w:t>
      </w:r>
      <w:r w:rsidR="00F67900">
        <w:rPr>
          <w:rFonts w:ascii="Times New Roman" w:eastAsia="宋体" w:hAnsi="Times New Roman" w:cs="Times New Roman"/>
          <w:sz w:val="20"/>
        </w:rPr>
        <w:t>can only</w:t>
      </w:r>
      <w:r w:rsidR="00597B66">
        <w:rPr>
          <w:rFonts w:ascii="Times New Roman" w:eastAsia="宋体" w:hAnsi="Times New Roman" w:cs="Times New Roman"/>
          <w:sz w:val="20"/>
        </w:rPr>
        <w:t xml:space="preserve"> be received at subframe#4 and subframe#3(if </w:t>
      </w:r>
      <w:r w:rsidR="00597B66" w:rsidRPr="00597B66">
        <w:rPr>
          <w:rFonts w:ascii="Times New Roman" w:eastAsia="宋体" w:hAnsi="Times New Roman" w:cs="Times New Roman"/>
          <w:sz w:val="20"/>
        </w:rPr>
        <w:t>additionalTransmissionSIB1</w:t>
      </w:r>
      <w:r w:rsidR="00597B66">
        <w:rPr>
          <w:rFonts w:ascii="Times New Roman" w:eastAsia="宋体" w:hAnsi="Times New Roman" w:cs="Times New Roman"/>
          <w:sz w:val="20"/>
        </w:rPr>
        <w:t xml:space="preserve"> set to TRUE). When the subframe for SIB1-NB is non-D NB-IoT subframes, </w:t>
      </w:r>
      <w:r w:rsidR="00F67900">
        <w:rPr>
          <w:rFonts w:ascii="Times New Roman" w:eastAsia="宋体" w:hAnsi="Times New Roman" w:cs="Times New Roman"/>
          <w:sz w:val="20"/>
        </w:rPr>
        <w:t xml:space="preserve">it was common understanding that </w:t>
      </w:r>
      <w:r w:rsidR="00597B66">
        <w:rPr>
          <w:rFonts w:ascii="Times New Roman" w:eastAsia="宋体" w:hAnsi="Times New Roman" w:cs="Times New Roman"/>
          <w:sz w:val="20"/>
        </w:rPr>
        <w:t>SIB1-NB will be dropped</w:t>
      </w:r>
      <w:r w:rsidR="00F67900">
        <w:rPr>
          <w:rFonts w:ascii="Times New Roman" w:eastAsia="宋体" w:hAnsi="Times New Roman" w:cs="Times New Roman"/>
          <w:sz w:val="20"/>
        </w:rPr>
        <w:t xml:space="preserve"> in the evaluation</w:t>
      </w:r>
      <w:r w:rsidR="00597B66">
        <w:rPr>
          <w:rFonts w:ascii="Times New Roman" w:eastAsia="宋体" w:hAnsi="Times New Roman" w:cs="Times New Roman"/>
          <w:sz w:val="20"/>
        </w:rPr>
        <w:t xml:space="preserve"> </w:t>
      </w:r>
      <w:r w:rsidR="00F67900">
        <w:rPr>
          <w:rFonts w:ascii="Times New Roman" w:eastAsia="宋体" w:hAnsi="Times New Roman" w:cs="Times New Roman"/>
          <w:sz w:val="20"/>
        </w:rPr>
        <w:t>during study phase (same as NPSS/NSSS/NPBCH), since no specification enhancement was considered at that time</w:t>
      </w:r>
      <w:r w:rsidR="00597B66">
        <w:rPr>
          <w:rFonts w:ascii="Times New Roman" w:eastAsia="宋体" w:hAnsi="Times New Roman" w:cs="Times New Roman"/>
          <w:sz w:val="20"/>
        </w:rPr>
        <w:t xml:space="preserve">. </w:t>
      </w:r>
      <w:r w:rsidR="00F67900">
        <w:rPr>
          <w:rFonts w:ascii="Times New Roman" w:eastAsia="宋体" w:hAnsi="Times New Roman" w:cs="Times New Roman"/>
          <w:sz w:val="20"/>
          <w:lang w:val="en-GB"/>
        </w:rPr>
        <w:t>After evaluations in study phase</w:t>
      </w:r>
      <w:r w:rsidR="00F67900">
        <w:rPr>
          <w:rFonts w:ascii="Times New Roman" w:eastAsia="宋体" w:hAnsi="Times New Roman" w:cs="Times New Roman"/>
          <w:sz w:val="20"/>
        </w:rPr>
        <w:t xml:space="preserve">, RAN1 concludes that SIB1-NB reception following current specifications is feasible at least for some configurations as shown below. </w:t>
      </w:r>
      <w:r w:rsidR="00597B66">
        <w:rPr>
          <w:rFonts w:ascii="Times New Roman" w:eastAsia="宋体" w:hAnsi="Times New Roman" w:cs="Times New Roman"/>
          <w:sz w:val="20"/>
        </w:rPr>
        <w:t>Therefore,</w:t>
      </w:r>
      <w:r w:rsidR="00F67900">
        <w:rPr>
          <w:rFonts w:ascii="Times New Roman" w:eastAsia="宋体" w:hAnsi="Times New Roman" w:cs="Times New Roman"/>
          <w:sz w:val="20"/>
        </w:rPr>
        <w:t xml:space="preserve"> it is preferred to handle the</w:t>
      </w:r>
      <w:r w:rsidR="009C4E44">
        <w:rPr>
          <w:rFonts w:ascii="Times New Roman" w:eastAsia="宋体" w:hAnsi="Times New Roman" w:cs="Times New Roman"/>
          <w:sz w:val="20"/>
        </w:rPr>
        <w:t xml:space="preserve"> </w:t>
      </w:r>
      <w:r w:rsidR="00F67900">
        <w:rPr>
          <w:rFonts w:ascii="Times New Roman" w:eastAsia="宋体" w:hAnsi="Times New Roman" w:cs="Times New Roman"/>
          <w:sz w:val="20"/>
        </w:rPr>
        <w:t xml:space="preserve">SIB1-NB </w:t>
      </w:r>
      <w:r w:rsidR="009C4E44">
        <w:rPr>
          <w:rFonts w:ascii="Times" w:eastAsia="宋体" w:hAnsi="Times" w:cs="Times New Roman"/>
          <w:bCs/>
          <w:sz w:val="20"/>
          <w:szCs w:val="20"/>
          <w:lang w:val="en-GB"/>
        </w:rPr>
        <w:t xml:space="preserve">using same solution as NPSS/NSSS/NPBCH, i.e., dropping the SIB1-NB in </w:t>
      </w:r>
      <w:r w:rsidR="009C4E44">
        <w:rPr>
          <w:rFonts w:ascii="Times New Roman" w:eastAsia="宋体" w:hAnsi="Times New Roman" w:cs="Times New Roman"/>
          <w:sz w:val="20"/>
        </w:rPr>
        <w:t>non-</w:t>
      </w:r>
      <w:r w:rsidR="009C4E44" w:rsidRPr="00DC5BFF">
        <w:rPr>
          <w:rFonts w:ascii="Times" w:eastAsia="宋体" w:hAnsi="Times" w:cs="Times New Roman"/>
          <w:bCs/>
          <w:sz w:val="20"/>
          <w:szCs w:val="20"/>
          <w:lang w:val="en-GB"/>
        </w:rPr>
        <w:t>D NB-IoT subframes</w:t>
      </w:r>
      <w:r w:rsidR="009C4E44">
        <w:rPr>
          <w:rFonts w:ascii="Times" w:eastAsia="宋体" w:hAnsi="Times" w:cs="Times New Roman"/>
          <w:bCs/>
          <w:sz w:val="20"/>
          <w:szCs w:val="20"/>
          <w:lang w:val="en-GB"/>
        </w:rPr>
        <w:t>.</w:t>
      </w:r>
    </w:p>
    <w:tbl>
      <w:tblPr>
        <w:tblStyle w:val="af2"/>
        <w:tblW w:w="0" w:type="auto"/>
        <w:tblLook w:val="04A0" w:firstRow="1" w:lastRow="0" w:firstColumn="1" w:lastColumn="0" w:noHBand="0" w:noVBand="1"/>
      </w:tblPr>
      <w:tblGrid>
        <w:gridCol w:w="9350"/>
      </w:tblGrid>
      <w:tr w:rsidR="00837DCB" w14:paraId="29E6F007" w14:textId="77777777" w:rsidTr="00837DCB">
        <w:tc>
          <w:tcPr>
            <w:tcW w:w="9350" w:type="dxa"/>
          </w:tcPr>
          <w:p w14:paraId="57B5510F" w14:textId="77777777" w:rsidR="00837DCB" w:rsidRPr="00837DCB" w:rsidRDefault="00837DCB" w:rsidP="00837DCB">
            <w:pPr>
              <w:spacing w:after="0" w:line="240" w:lineRule="auto"/>
              <w:rPr>
                <w:rFonts w:ascii="Times" w:eastAsia="Batang" w:hAnsi="Times" w:cs="Times"/>
                <w:b/>
                <w:bCs/>
                <w:sz w:val="20"/>
                <w:szCs w:val="24"/>
              </w:rPr>
            </w:pPr>
            <w:r w:rsidRPr="00837DCB">
              <w:rPr>
                <w:rFonts w:ascii="Times" w:eastAsia="Batang" w:hAnsi="Times" w:cs="Times"/>
                <w:b/>
                <w:bCs/>
                <w:sz w:val="20"/>
                <w:szCs w:val="24"/>
              </w:rPr>
              <w:t>Conclusion</w:t>
            </w:r>
          </w:p>
          <w:p w14:paraId="61F399EB" w14:textId="77777777" w:rsidR="00837DCB" w:rsidRPr="00837DCB" w:rsidRDefault="00837DCB" w:rsidP="00837DCB">
            <w:pPr>
              <w:spacing w:after="0" w:line="240" w:lineRule="auto"/>
              <w:rPr>
                <w:rFonts w:ascii="Times" w:eastAsia="Batang" w:hAnsi="Times" w:cs="Times"/>
                <w:sz w:val="20"/>
                <w:szCs w:val="24"/>
              </w:rPr>
            </w:pPr>
            <w:r w:rsidRPr="00837DCB">
              <w:rPr>
                <w:rFonts w:ascii="Times" w:eastAsia="Batang" w:hAnsi="Times" w:cs="Times"/>
                <w:sz w:val="20"/>
                <w:szCs w:val="24"/>
                <w:highlight w:val="yellow"/>
              </w:rPr>
              <w:t>For N=9, D=8, RAN1 concludes that SIB1-NB reception following current specifications is feasible for some SIB1-NB TBS values, at least when the configured number of repetitions is 16 and when SIB1-NB TBS value &lt;=X bits.</w:t>
            </w:r>
          </w:p>
          <w:p w14:paraId="5964B4AC" w14:textId="77777777" w:rsidR="00837DCB" w:rsidRPr="00837DCB" w:rsidRDefault="00837DCB" w:rsidP="00837DCB">
            <w:pPr>
              <w:numPr>
                <w:ilvl w:val="0"/>
                <w:numId w:val="20"/>
              </w:numPr>
              <w:spacing w:before="100" w:beforeAutospacing="1" w:after="100" w:afterAutospacing="1" w:line="240" w:lineRule="auto"/>
              <w:contextualSpacing/>
              <w:rPr>
                <w:rFonts w:ascii="Times" w:eastAsia="Batang" w:hAnsi="Times" w:cs="Times"/>
                <w:sz w:val="20"/>
                <w:szCs w:val="24"/>
              </w:rPr>
            </w:pPr>
            <w:r w:rsidRPr="00837DCB">
              <w:rPr>
                <w:rFonts w:ascii="Times" w:eastAsia="Batang" w:hAnsi="Times" w:cs="Times"/>
                <w:sz w:val="20"/>
                <w:szCs w:val="24"/>
              </w:rPr>
              <w:t>When considering only NPSS/NSSS/NPBCH/SIB1-NB, and if the number of SIB1-NB repetitions is 16:</w:t>
            </w:r>
          </w:p>
          <w:p w14:paraId="0773FE55" w14:textId="77777777" w:rsidR="00837DCB" w:rsidRPr="00837DCB" w:rsidRDefault="00837DCB" w:rsidP="00837DCB">
            <w:pPr>
              <w:numPr>
                <w:ilvl w:val="1"/>
                <w:numId w:val="20"/>
              </w:numPr>
              <w:spacing w:before="100" w:beforeAutospacing="1" w:after="100" w:afterAutospacing="1" w:line="240" w:lineRule="auto"/>
              <w:contextualSpacing/>
              <w:rPr>
                <w:rFonts w:ascii="Times" w:eastAsia="Batang" w:hAnsi="Times" w:cs="Times"/>
                <w:sz w:val="20"/>
                <w:szCs w:val="24"/>
              </w:rPr>
            </w:pPr>
            <w:r w:rsidRPr="00837DCB">
              <w:rPr>
                <w:rFonts w:ascii="Times" w:eastAsia="Batang" w:hAnsi="Times" w:cs="Times"/>
                <w:sz w:val="20"/>
                <w:szCs w:val="24"/>
              </w:rPr>
              <w:t xml:space="preserve">If </w:t>
            </w:r>
            <w:bookmarkStart w:id="3" w:name="_Hlk193375057"/>
            <w:r w:rsidRPr="00837DCB">
              <w:rPr>
                <w:rFonts w:ascii="Times" w:eastAsia="Batang" w:hAnsi="Times" w:cs="Times"/>
                <w:i/>
                <w:iCs/>
                <w:sz w:val="20"/>
                <w:szCs w:val="24"/>
              </w:rPr>
              <w:t>additionalTransmissionSIB1</w:t>
            </w:r>
            <w:bookmarkEnd w:id="3"/>
            <w:r w:rsidRPr="00837DCB">
              <w:rPr>
                <w:rFonts w:ascii="Times" w:eastAsia="Batang" w:hAnsi="Times" w:cs="Times"/>
                <w:sz w:val="20"/>
                <w:szCs w:val="24"/>
              </w:rPr>
              <w:t xml:space="preserve"> is set to </w:t>
            </w:r>
            <w:r w:rsidRPr="00837DCB">
              <w:rPr>
                <w:rFonts w:ascii="Times" w:eastAsia="Batang" w:hAnsi="Times" w:cs="Times"/>
                <w:i/>
                <w:iCs/>
                <w:sz w:val="20"/>
                <w:szCs w:val="24"/>
              </w:rPr>
              <w:t xml:space="preserve">TRUE, </w:t>
            </w:r>
            <w:r w:rsidRPr="00837DCB">
              <w:rPr>
                <w:rFonts w:ascii="Times" w:eastAsia="Batang" w:hAnsi="Times" w:cs="Times"/>
                <w:sz w:val="20"/>
                <w:szCs w:val="24"/>
              </w:rPr>
              <w:t>the overhead of NPSS/NSSS/NPBCH/SIB1-NB is 43.75% in the anchor carrier.</w:t>
            </w:r>
          </w:p>
          <w:p w14:paraId="07F0C02D" w14:textId="77777777" w:rsidR="00837DCB" w:rsidRPr="00837DCB" w:rsidRDefault="00837DCB" w:rsidP="00837DCB">
            <w:pPr>
              <w:numPr>
                <w:ilvl w:val="1"/>
                <w:numId w:val="20"/>
              </w:numPr>
              <w:spacing w:before="100" w:beforeAutospacing="1" w:after="100" w:afterAutospacing="1" w:line="240" w:lineRule="auto"/>
              <w:contextualSpacing/>
              <w:rPr>
                <w:rFonts w:ascii="Times" w:eastAsia="Batang" w:hAnsi="Times" w:cs="Times"/>
                <w:sz w:val="20"/>
                <w:szCs w:val="24"/>
              </w:rPr>
            </w:pPr>
            <w:r w:rsidRPr="00837DCB">
              <w:rPr>
                <w:rFonts w:ascii="Times" w:eastAsia="Batang" w:hAnsi="Times" w:cs="Times"/>
                <w:sz w:val="20"/>
                <w:szCs w:val="24"/>
              </w:rPr>
              <w:t xml:space="preserve">If </w:t>
            </w:r>
            <w:r w:rsidRPr="00837DCB">
              <w:rPr>
                <w:rFonts w:ascii="Times" w:eastAsia="Batang" w:hAnsi="Times" w:cs="Times"/>
                <w:i/>
                <w:iCs/>
                <w:sz w:val="20"/>
                <w:szCs w:val="24"/>
              </w:rPr>
              <w:t>additionalTransmissionSIB1</w:t>
            </w:r>
            <w:r w:rsidRPr="00837DCB">
              <w:rPr>
                <w:rFonts w:ascii="Times" w:eastAsia="Batang" w:hAnsi="Times" w:cs="Times"/>
                <w:sz w:val="20"/>
                <w:szCs w:val="24"/>
              </w:rPr>
              <w:t xml:space="preserve"> is not set to </w:t>
            </w:r>
            <w:r w:rsidRPr="00837DCB">
              <w:rPr>
                <w:rFonts w:ascii="Times" w:eastAsia="Batang" w:hAnsi="Times" w:cs="Times"/>
                <w:i/>
                <w:iCs/>
                <w:sz w:val="20"/>
                <w:szCs w:val="24"/>
              </w:rPr>
              <w:t xml:space="preserve">TRUE, </w:t>
            </w:r>
            <w:r w:rsidRPr="00837DCB">
              <w:rPr>
                <w:rFonts w:ascii="Times" w:eastAsia="Batang" w:hAnsi="Times" w:cs="Times"/>
                <w:sz w:val="20"/>
                <w:szCs w:val="24"/>
              </w:rPr>
              <w:t>the overhead of NPSS/NSSS/NPBCH/SIB1-NB is 37.5% in the anchor carrier.</w:t>
            </w:r>
          </w:p>
          <w:p w14:paraId="3A0921CA" w14:textId="77777777" w:rsidR="00837DCB" w:rsidRPr="00837DCB" w:rsidRDefault="00837DCB" w:rsidP="00837DCB">
            <w:pPr>
              <w:numPr>
                <w:ilvl w:val="1"/>
                <w:numId w:val="20"/>
              </w:numPr>
              <w:spacing w:before="100" w:beforeAutospacing="1" w:after="100" w:afterAutospacing="1" w:line="240" w:lineRule="auto"/>
              <w:contextualSpacing/>
              <w:rPr>
                <w:rFonts w:ascii="Times" w:eastAsia="Batang" w:hAnsi="Times" w:cs="Times"/>
                <w:sz w:val="20"/>
                <w:szCs w:val="24"/>
              </w:rPr>
            </w:pPr>
            <w:r w:rsidRPr="00837DCB">
              <w:rPr>
                <w:rFonts w:ascii="Times" w:eastAsia="Batang" w:hAnsi="Times" w:cs="Times"/>
                <w:sz w:val="20"/>
                <w:szCs w:val="24"/>
              </w:rPr>
              <w:t>NOTE: In the above calculations, overhead due to transmission of other SIBs has not been included.</w:t>
            </w:r>
          </w:p>
          <w:p w14:paraId="0EF36143" w14:textId="6876D32B" w:rsidR="00837DCB" w:rsidRPr="00837DCB" w:rsidRDefault="00837DCB" w:rsidP="00837DCB">
            <w:pPr>
              <w:numPr>
                <w:ilvl w:val="0"/>
                <w:numId w:val="20"/>
              </w:numPr>
              <w:spacing w:before="100" w:beforeAutospacing="1" w:after="100" w:afterAutospacing="1" w:line="240" w:lineRule="auto"/>
              <w:contextualSpacing/>
              <w:rPr>
                <w:rFonts w:ascii="Times" w:eastAsia="Batang" w:hAnsi="Times" w:cs="Times"/>
                <w:sz w:val="21"/>
                <w:szCs w:val="24"/>
              </w:rPr>
            </w:pPr>
            <w:r w:rsidRPr="00837DCB">
              <w:rPr>
                <w:rFonts w:ascii="Times" w:eastAsia="Batang" w:hAnsi="Times" w:cs="Times"/>
                <w:sz w:val="20"/>
                <w:szCs w:val="24"/>
              </w:rPr>
              <w:t>The value of X may be further studied during the normative phase. Note: X is a TBS value supported by the specifications for SIB1-NB.</w:t>
            </w:r>
          </w:p>
        </w:tc>
      </w:tr>
    </w:tbl>
    <w:p w14:paraId="29D0E3BB" w14:textId="0C42CC86" w:rsidR="009C4E44" w:rsidRDefault="009C4E44" w:rsidP="009C4E44">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lastRenderedPageBreak/>
        <w:t xml:space="preserve">Observation </w:t>
      </w:r>
      <w:r>
        <w:rPr>
          <w:rFonts w:ascii="Times New Roman" w:eastAsia="宋体" w:hAnsi="Times New Roman" w:cs="Times New Roman"/>
          <w:b/>
          <w:bCs/>
          <w:i/>
          <w:iCs/>
          <w:sz w:val="20"/>
        </w:rPr>
        <w:t>1</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sidRPr="009C4E44">
        <w:rPr>
          <w:rFonts w:ascii="Times New Roman" w:eastAsia="宋体" w:hAnsi="Times New Roman" w:cs="Times New Roman"/>
          <w:bCs/>
          <w:i/>
          <w:iCs/>
          <w:sz w:val="20"/>
        </w:rPr>
        <w:t>RAN1 concludes that SIB1-NB reception following current specifications is feasible at least for some configurations</w:t>
      </w:r>
      <w:r>
        <w:rPr>
          <w:rFonts w:ascii="Times New Roman" w:eastAsia="宋体" w:hAnsi="Times New Roman" w:cs="Times New Roman"/>
          <w:bCs/>
          <w:i/>
          <w:iCs/>
          <w:sz w:val="20"/>
        </w:rPr>
        <w:t>.</w:t>
      </w:r>
    </w:p>
    <w:p w14:paraId="4DBD38F3" w14:textId="2CAE4F8E" w:rsidR="009C4E44" w:rsidRPr="008E22A6" w:rsidRDefault="009C4E44" w:rsidP="009C4E44">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1</w:t>
      </w:r>
      <w:r>
        <w:rPr>
          <w:rFonts w:ascii="Times New Roman" w:eastAsia="Calibri" w:hAnsi="Times New Roman" w:cs="Times New Roman" w:hint="eastAsia"/>
          <w:b/>
          <w:bCs/>
          <w:i/>
          <w:iCs/>
          <w:sz w:val="20"/>
        </w:rPr>
        <w:t xml:space="preserve">: </w:t>
      </w:r>
      <w:r w:rsidRPr="009C4E44">
        <w:rPr>
          <w:rFonts w:ascii="Times New Roman" w:eastAsia="宋体" w:hAnsi="Times New Roman" w:cs="Times New Roman"/>
          <w:bCs/>
          <w:i/>
          <w:iCs/>
          <w:sz w:val="20"/>
        </w:rPr>
        <w:t>SIB1-NB</w:t>
      </w:r>
      <w:r w:rsidRPr="009C4E44">
        <w:rPr>
          <w:rFonts w:ascii="Times New Roman" w:eastAsia="Calibri" w:hAnsi="Times New Roman" w:cs="Times New Roman"/>
          <w:bCs/>
          <w:i/>
          <w:iCs/>
          <w:sz w:val="20"/>
        </w:rPr>
        <w:t xml:space="preserve"> transmissions are dropped in non-D NB-IoT subframes</w:t>
      </w:r>
      <w:r>
        <w:rPr>
          <w:rFonts w:ascii="Times New Roman" w:eastAsia="Calibri" w:hAnsi="Times New Roman" w:cs="Times New Roman"/>
          <w:bCs/>
          <w:i/>
          <w:iCs/>
          <w:sz w:val="20"/>
        </w:rPr>
        <w:t>.</w:t>
      </w:r>
    </w:p>
    <w:p w14:paraId="074C4930" w14:textId="0FB25EA2" w:rsidR="003A4F44" w:rsidRDefault="003A4F44" w:rsidP="003A4F44">
      <w:pPr>
        <w:pStyle w:val="2"/>
        <w:numPr>
          <w:ilvl w:val="1"/>
          <w:numId w:val="3"/>
        </w:numPr>
        <w:spacing w:before="0" w:after="0"/>
        <w:rPr>
          <w:rFonts w:cs="Times New Roman"/>
          <w:bCs/>
          <w:sz w:val="20"/>
          <w:szCs w:val="20"/>
        </w:rPr>
      </w:pPr>
      <w:r w:rsidRPr="003A4F44">
        <w:rPr>
          <w:rFonts w:ascii="Times New Roman" w:hAnsi="Times New Roman" w:cs="Times New Roman"/>
          <w:sz w:val="20"/>
          <w:szCs w:val="20"/>
        </w:rPr>
        <w:t>NPDCCH</w:t>
      </w:r>
    </w:p>
    <w:p w14:paraId="52DE425D" w14:textId="0BA334D0" w:rsidR="007F601C" w:rsidRDefault="007F601C" w:rsidP="007F601C">
      <w:pPr>
        <w:jc w:val="both"/>
        <w:rPr>
          <w:rFonts w:ascii="Times" w:eastAsia="宋体" w:hAnsi="Times" w:cs="Times New Roman"/>
          <w:bCs/>
          <w:sz w:val="20"/>
          <w:szCs w:val="20"/>
          <w:lang w:val="en-GB"/>
        </w:rPr>
      </w:pPr>
      <w:r w:rsidRPr="007F601C">
        <w:rPr>
          <w:rFonts w:ascii="Times New Roman" w:eastAsia="宋体" w:hAnsi="Times New Roman" w:cs="Times New Roman"/>
          <w:sz w:val="20"/>
        </w:rPr>
        <w:t>In RAN1#120, it was agreed that</w:t>
      </w:r>
      <w:r>
        <w:rPr>
          <w:rFonts w:ascii="Times" w:eastAsia="宋体" w:hAnsi="Times" w:cs="Times New Roman"/>
          <w:bCs/>
          <w:sz w:val="20"/>
          <w:szCs w:val="20"/>
          <w:lang w:val="en-GB"/>
        </w:rPr>
        <w:t xml:space="preserve"> </w:t>
      </w:r>
      <w:r w:rsidRPr="00DC5BFF">
        <w:rPr>
          <w:rFonts w:ascii="Times" w:eastAsia="宋体" w:hAnsi="Times" w:cs="Times New Roman"/>
          <w:bCs/>
          <w:sz w:val="20"/>
          <w:szCs w:val="20"/>
          <w:lang w:val="en-GB"/>
        </w:rPr>
        <w:t>non-D NB-IoT subframes are not considered by the UE as “NB-IoT DL subframes”</w:t>
      </w:r>
      <w:r>
        <w:rPr>
          <w:rFonts w:ascii="Times" w:eastAsia="宋体" w:hAnsi="Times" w:cs="Times New Roman"/>
          <w:bCs/>
          <w:sz w:val="20"/>
          <w:szCs w:val="20"/>
          <w:lang w:val="en-GB"/>
        </w:rPr>
        <w:t xml:space="preserve"> and NPDCCH is mapped as per current specifications. </w:t>
      </w:r>
      <w:r w:rsidR="00015EDD">
        <w:rPr>
          <w:rFonts w:ascii="Times" w:eastAsia="宋体" w:hAnsi="Times" w:cs="Times New Roman"/>
          <w:bCs/>
          <w:sz w:val="20"/>
          <w:szCs w:val="20"/>
          <w:lang w:val="en-GB"/>
        </w:rPr>
        <w:t xml:space="preserve">That is, the NPDCCH will be postponed to NB-IoT DL subframes when overlapping with non-D NB-IoT subframes. </w:t>
      </w:r>
      <w:r>
        <w:rPr>
          <w:rFonts w:ascii="Times" w:eastAsia="宋体" w:hAnsi="Times" w:cs="Times New Roman"/>
          <w:bCs/>
          <w:sz w:val="20"/>
          <w:szCs w:val="20"/>
          <w:lang w:val="en-GB"/>
        </w:rPr>
        <w:t>However, there are still some pending issues:</w:t>
      </w:r>
    </w:p>
    <w:p w14:paraId="6FF8316F" w14:textId="77777777" w:rsidR="007F601C" w:rsidRPr="00DC5BFF" w:rsidRDefault="007F601C" w:rsidP="007F601C">
      <w:pPr>
        <w:numPr>
          <w:ilvl w:val="0"/>
          <w:numId w:val="17"/>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FFS: additional NB-IoT TDD-specific rules for handling non “NB-IoT DL subframes”</w:t>
      </w:r>
    </w:p>
    <w:p w14:paraId="1F8D52C2" w14:textId="77777777" w:rsidR="007F601C" w:rsidRPr="00DC5BFF" w:rsidRDefault="007F601C" w:rsidP="007F601C">
      <w:pPr>
        <w:numPr>
          <w:ilvl w:val="0"/>
          <w:numId w:val="17"/>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FFS: Introduction of new periodicities for NPDCCH monitoring (e.g. by the introduction of scaling factor)</w:t>
      </w:r>
    </w:p>
    <w:p w14:paraId="0BAC9174" w14:textId="77777777" w:rsidR="007F601C" w:rsidRPr="00DC5BFF" w:rsidRDefault="007F601C" w:rsidP="007F601C">
      <w:pPr>
        <w:numPr>
          <w:ilvl w:val="0"/>
          <w:numId w:val="17"/>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FFS: whether all the configuration values for NPDCCH are valid for NB-IoT NTN TDD.</w:t>
      </w:r>
    </w:p>
    <w:p w14:paraId="5F8D5E74" w14:textId="0D4E93C9" w:rsidR="007F601C" w:rsidRDefault="007F601C" w:rsidP="007F601C">
      <w:pPr>
        <w:jc w:val="both"/>
        <w:rPr>
          <w:rFonts w:ascii="Times" w:eastAsia="Batang" w:hAnsi="Times" w:cs="Times New Roman"/>
          <w:bCs/>
          <w:sz w:val="20"/>
          <w:szCs w:val="20"/>
          <w:lang w:val="en-GB"/>
        </w:rPr>
      </w:pPr>
      <w:r>
        <w:rPr>
          <w:rFonts w:ascii="Times" w:eastAsia="宋体" w:hAnsi="Times" w:cs="Times New Roman"/>
          <w:bCs/>
          <w:sz w:val="20"/>
          <w:szCs w:val="20"/>
          <w:lang w:val="en-GB"/>
        </w:rPr>
        <w:t xml:space="preserve">Firstly, it is worth noting that NPDCCH search space is defined by a set of NPDCCH candidates where each candidate is repeated in a set of </w:t>
      </w:r>
      <w:r w:rsidRPr="007F601C">
        <w:rPr>
          <w:rFonts w:ascii="Times" w:eastAsia="宋体" w:hAnsi="Times" w:cs="Times New Roman"/>
          <w:b/>
          <w:bCs/>
          <w:sz w:val="20"/>
          <w:szCs w:val="20"/>
          <w:lang w:val="en-GB"/>
        </w:rPr>
        <w:t>consecutive NB-IoT DL subframes</w:t>
      </w:r>
      <w:r>
        <w:rPr>
          <w:rFonts w:ascii="Times" w:eastAsia="宋体" w:hAnsi="Times" w:cs="Times New Roman"/>
          <w:bCs/>
          <w:sz w:val="20"/>
          <w:szCs w:val="20"/>
          <w:lang w:val="en-GB"/>
        </w:rPr>
        <w:t xml:space="preserve"> excluding subframes used for SI transmission. </w:t>
      </w:r>
      <w:r w:rsidR="00DC1F41">
        <w:rPr>
          <w:rFonts w:ascii="Times" w:eastAsia="宋体" w:hAnsi="Times" w:cs="Times New Roman"/>
          <w:bCs/>
          <w:sz w:val="20"/>
          <w:szCs w:val="20"/>
          <w:lang w:val="en-GB"/>
        </w:rPr>
        <w:t xml:space="preserve">As NPDCCH candidates are only mapped on NB-IoT DL subframes, there is no need to consider specific rules for handling non </w:t>
      </w:r>
      <w:r w:rsidR="00DC1F41" w:rsidRPr="00DC5BFF">
        <w:rPr>
          <w:rFonts w:ascii="Times" w:eastAsia="Batang" w:hAnsi="Times" w:cs="Times New Roman"/>
          <w:bCs/>
          <w:sz w:val="20"/>
          <w:szCs w:val="20"/>
          <w:lang w:val="en-GB"/>
        </w:rPr>
        <w:t>“NB-IoT DL subframes”</w:t>
      </w:r>
      <w:r w:rsidR="00DC1F41">
        <w:rPr>
          <w:rFonts w:ascii="Times" w:eastAsia="Batang" w:hAnsi="Times" w:cs="Times New Roman"/>
          <w:bCs/>
          <w:sz w:val="20"/>
          <w:szCs w:val="20"/>
          <w:lang w:val="en-GB"/>
        </w:rPr>
        <w:t xml:space="preserve"> for NPDCCH.</w:t>
      </w:r>
      <w:r w:rsidR="00015EDD">
        <w:rPr>
          <w:rFonts w:ascii="Times" w:eastAsia="Batang" w:hAnsi="Times" w:cs="Times New Roman"/>
          <w:bCs/>
          <w:sz w:val="20"/>
          <w:szCs w:val="20"/>
          <w:lang w:val="en-GB"/>
        </w:rPr>
        <w:t xml:space="preserve"> </w:t>
      </w:r>
    </w:p>
    <w:p w14:paraId="76B9A83F" w14:textId="65838DFC" w:rsidR="008A02FF" w:rsidRDefault="008A02FF" w:rsidP="008A02FF">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2</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NPDCCH is only mapped to NB-IoT DL subframes. No need to introduce additional NB-IoT TDD-specific rules for handling non “NB-IoT DL subframes” for NPDCCH.</w:t>
      </w:r>
    </w:p>
    <w:p w14:paraId="23F216AF" w14:textId="231AD462" w:rsidR="00837DCB" w:rsidRPr="00DC1F41" w:rsidRDefault="00DC1F41">
      <w:pPr>
        <w:jc w:val="both"/>
        <w:rPr>
          <w:rFonts w:ascii="Times" w:eastAsia="宋体" w:hAnsi="Times" w:cs="Times New Roman"/>
          <w:bCs/>
          <w:sz w:val="20"/>
          <w:szCs w:val="20"/>
          <w:lang w:val="en-GB"/>
        </w:rPr>
      </w:pPr>
      <w:r>
        <w:rPr>
          <w:rFonts w:ascii="Times" w:eastAsia="宋体" w:hAnsi="Times" w:cs="Times New Roman" w:hint="eastAsia"/>
          <w:bCs/>
          <w:sz w:val="20"/>
          <w:szCs w:val="20"/>
          <w:lang w:val="en-GB"/>
        </w:rPr>
        <w:t>M</w:t>
      </w:r>
      <w:r>
        <w:rPr>
          <w:rFonts w:ascii="Times" w:eastAsia="宋体" w:hAnsi="Times" w:cs="Times New Roman"/>
          <w:bCs/>
          <w:sz w:val="20"/>
          <w:szCs w:val="20"/>
          <w:lang w:val="en-GB"/>
        </w:rPr>
        <w:t xml:space="preserve">oreover, current specifications have already defined rules to handle the overlap of NPDCCH </w:t>
      </w:r>
      <w:r w:rsidR="00181D49" w:rsidRPr="00181D49">
        <w:rPr>
          <w:rFonts w:ascii="Times" w:eastAsia="宋体" w:hAnsi="Times" w:cs="Times New Roman"/>
          <w:bCs/>
          <w:sz w:val="20"/>
          <w:szCs w:val="20"/>
          <w:lang w:val="en-GB"/>
        </w:rPr>
        <w:t xml:space="preserve">search spaces </w:t>
      </w:r>
      <w:r>
        <w:rPr>
          <w:rFonts w:ascii="Times" w:eastAsia="宋体" w:hAnsi="Times" w:cs="Times New Roman"/>
          <w:bCs/>
          <w:sz w:val="20"/>
          <w:szCs w:val="20"/>
          <w:lang w:val="en-GB"/>
        </w:rPr>
        <w:t>as shown below:</w:t>
      </w:r>
    </w:p>
    <w:tbl>
      <w:tblPr>
        <w:tblStyle w:val="af2"/>
        <w:tblW w:w="0" w:type="auto"/>
        <w:tblLook w:val="04A0" w:firstRow="1" w:lastRow="0" w:firstColumn="1" w:lastColumn="0" w:noHBand="0" w:noVBand="1"/>
      </w:tblPr>
      <w:tblGrid>
        <w:gridCol w:w="9350"/>
      </w:tblGrid>
      <w:tr w:rsidR="007F601C" w14:paraId="5CF04494" w14:textId="77777777" w:rsidTr="007F601C">
        <w:tc>
          <w:tcPr>
            <w:tcW w:w="9350" w:type="dxa"/>
          </w:tcPr>
          <w:p w14:paraId="008D52E5" w14:textId="63309993" w:rsidR="00DC1F41" w:rsidRPr="00DC1F41" w:rsidRDefault="00DC1F41" w:rsidP="00DC1F41">
            <w:pPr>
              <w:overflowPunct w:val="0"/>
              <w:autoSpaceDE w:val="0"/>
              <w:autoSpaceDN w:val="0"/>
              <w:adjustRightInd w:val="0"/>
              <w:spacing w:before="100" w:beforeAutospacing="1" w:after="180" w:line="240" w:lineRule="auto"/>
              <w:textAlignment w:val="baseline"/>
              <w:rPr>
                <w:rFonts w:ascii="Times New Roman" w:eastAsia="宋体" w:hAnsi="Times New Roman" w:cs="Times New Roman"/>
                <w:b/>
                <w:sz w:val="20"/>
                <w:szCs w:val="24"/>
              </w:rPr>
            </w:pPr>
            <w:r w:rsidRPr="00DC1F41">
              <w:rPr>
                <w:rFonts w:ascii="Times New Roman" w:eastAsia="宋体" w:hAnsi="Times New Roman" w:cs="Times New Roman" w:hint="eastAsia"/>
                <w:b/>
                <w:sz w:val="20"/>
                <w:szCs w:val="24"/>
              </w:rPr>
              <w:t>T</w:t>
            </w:r>
            <w:r w:rsidRPr="00DC1F41">
              <w:rPr>
                <w:rFonts w:ascii="Times New Roman" w:eastAsia="宋体" w:hAnsi="Times New Roman" w:cs="Times New Roman"/>
                <w:b/>
                <w:sz w:val="20"/>
                <w:szCs w:val="24"/>
              </w:rPr>
              <w:t xml:space="preserve">S 36.213 </w:t>
            </w:r>
            <w:r>
              <w:rPr>
                <w:rFonts w:ascii="Times New Roman" w:eastAsia="宋体" w:hAnsi="Times New Roman" w:cs="Times New Roman"/>
                <w:b/>
                <w:sz w:val="20"/>
                <w:szCs w:val="24"/>
              </w:rPr>
              <w:t xml:space="preserve">clause </w:t>
            </w:r>
            <w:r w:rsidRPr="00DC1F41">
              <w:rPr>
                <w:rFonts w:ascii="Times New Roman" w:eastAsia="宋体" w:hAnsi="Times New Roman" w:cs="Times New Roman"/>
                <w:b/>
                <w:sz w:val="20"/>
                <w:szCs w:val="24"/>
              </w:rPr>
              <w:t>16.6</w:t>
            </w:r>
          </w:p>
          <w:p w14:paraId="7017B690" w14:textId="6727E51C" w:rsidR="00DC1F41" w:rsidRPr="00DC1F41" w:rsidRDefault="00DC1F41" w:rsidP="00DC1F41">
            <w:pPr>
              <w:overflowPunct w:val="0"/>
              <w:autoSpaceDE w:val="0"/>
              <w:autoSpaceDN w:val="0"/>
              <w:adjustRightInd w:val="0"/>
              <w:spacing w:before="100" w:beforeAutospacing="1" w:after="180" w:line="240" w:lineRule="auto"/>
              <w:textAlignment w:val="baseline"/>
              <w:rPr>
                <w:rFonts w:ascii="Times New Roman" w:eastAsia="宋体" w:hAnsi="Times New Roman" w:cs="Times New Roman"/>
                <w:i/>
                <w:sz w:val="20"/>
                <w:szCs w:val="24"/>
              </w:rPr>
            </w:pPr>
            <w:r w:rsidRPr="00DC1F41">
              <w:rPr>
                <w:rFonts w:ascii="Times New Roman" w:eastAsia="宋体" w:hAnsi="Times New Roman" w:cs="Times New Roman"/>
                <w:sz w:val="20"/>
                <w:szCs w:val="24"/>
              </w:rPr>
              <w:t xml:space="preserve">If a NB-IoT UE is configured with higher layer parameter </w:t>
            </w:r>
            <w:r w:rsidRPr="00DC1F41">
              <w:rPr>
                <w:rFonts w:ascii="Times New Roman" w:eastAsia="宋体" w:hAnsi="Times New Roman" w:cs="Times New Roman"/>
                <w:i/>
                <w:sz w:val="20"/>
                <w:szCs w:val="24"/>
              </w:rPr>
              <w:t>twoHARQ-ProcessesConfig</w:t>
            </w:r>
          </w:p>
          <w:p w14:paraId="58C39A3D" w14:textId="77777777" w:rsidR="00DC1F41" w:rsidRPr="00DC1F41" w:rsidRDefault="00DC1F41" w:rsidP="00DC1F41">
            <w:pPr>
              <w:overflowPunct w:val="0"/>
              <w:autoSpaceDE w:val="0"/>
              <w:autoSpaceDN w:val="0"/>
              <w:adjustRightInd w:val="0"/>
              <w:spacing w:before="100" w:beforeAutospacing="1" w:after="180" w:line="240" w:lineRule="auto"/>
              <w:ind w:left="568" w:hanging="284"/>
              <w:textAlignment w:val="baseline"/>
              <w:rPr>
                <w:rFonts w:ascii="Times New Roman" w:eastAsia="宋体" w:hAnsi="Times New Roman" w:cs="Times New Roman"/>
                <w:sz w:val="20"/>
                <w:szCs w:val="24"/>
              </w:rPr>
            </w:pPr>
            <w:r w:rsidRPr="00DC1F41">
              <w:rPr>
                <w:rFonts w:ascii="Times New Roman" w:eastAsia="宋体" w:hAnsi="Times New Roman" w:cs="Times New Roman"/>
                <w:sz w:val="20"/>
                <w:szCs w:val="24"/>
              </w:rPr>
              <w:t>-</w:t>
            </w:r>
            <w:r w:rsidRPr="00DC1F41">
              <w:rPr>
                <w:rFonts w:ascii="Times New Roman" w:eastAsia="宋体" w:hAnsi="Times New Roman" w:cs="Times New Roman"/>
                <w:sz w:val="20"/>
                <w:szCs w:val="24"/>
              </w:rPr>
              <w:tab/>
              <w:t xml:space="preserve">the UE is not required to monitor an NPDCCH candidate of an NPDCCH search space if the candidate ends in subframe </w:t>
            </w:r>
            <w:r w:rsidRPr="00DC1F41">
              <w:rPr>
                <w:rFonts w:ascii="Times New Roman" w:eastAsia="宋体" w:hAnsi="Times New Roman" w:cs="Times New Roman"/>
                <w:i/>
                <w:sz w:val="20"/>
                <w:szCs w:val="24"/>
              </w:rPr>
              <w:t>n</w:t>
            </w:r>
            <w:r w:rsidRPr="00DC1F41">
              <w:rPr>
                <w:rFonts w:ascii="Times New Roman" w:eastAsia="宋体" w:hAnsi="Times New Roman" w:cs="Times New Roman"/>
                <w:sz w:val="20"/>
                <w:szCs w:val="24"/>
              </w:rPr>
              <w:t xml:space="preserve">, and if the UE is configured to monitor NPDCCH candidates of another NPDCCH search space having starting subframe k0 before subframe </w:t>
            </w:r>
            <w:r w:rsidRPr="00DC1F41">
              <w:rPr>
                <w:rFonts w:ascii="Times New Roman" w:eastAsia="宋体" w:hAnsi="Times New Roman" w:cs="Times New Roman"/>
                <w:i/>
                <w:sz w:val="20"/>
                <w:szCs w:val="24"/>
              </w:rPr>
              <w:t>n</w:t>
            </w:r>
            <w:r w:rsidRPr="00DC1F41">
              <w:rPr>
                <w:rFonts w:ascii="Times New Roman" w:eastAsia="宋体" w:hAnsi="Times New Roman" w:cs="Times New Roman"/>
                <w:sz w:val="20"/>
                <w:szCs w:val="24"/>
              </w:rPr>
              <w:t>+5</w:t>
            </w:r>
          </w:p>
          <w:p w14:paraId="6300ED9A" w14:textId="77777777" w:rsidR="00DC1F41" w:rsidRPr="00DC1F41" w:rsidRDefault="00DC1F41" w:rsidP="00DC1F41">
            <w:pPr>
              <w:overflowPunct w:val="0"/>
              <w:autoSpaceDE w:val="0"/>
              <w:autoSpaceDN w:val="0"/>
              <w:adjustRightInd w:val="0"/>
              <w:spacing w:before="100" w:beforeAutospacing="1" w:after="180" w:line="240" w:lineRule="auto"/>
              <w:textAlignment w:val="baseline"/>
              <w:rPr>
                <w:rFonts w:ascii="Times New Roman" w:eastAsia="宋体" w:hAnsi="Times New Roman" w:cs="Times New Roman"/>
                <w:sz w:val="20"/>
                <w:szCs w:val="24"/>
              </w:rPr>
            </w:pPr>
            <w:r w:rsidRPr="00DC1F41">
              <w:rPr>
                <w:rFonts w:ascii="Times New Roman" w:eastAsia="宋体" w:hAnsi="Times New Roman" w:cs="Times New Roman"/>
                <w:sz w:val="20"/>
                <w:szCs w:val="24"/>
              </w:rPr>
              <w:t>otherwise</w:t>
            </w:r>
          </w:p>
          <w:p w14:paraId="3C27C653" w14:textId="09F3C060" w:rsidR="007F601C" w:rsidRPr="00DC1F41" w:rsidRDefault="00DC1F41" w:rsidP="00DC1F41">
            <w:pPr>
              <w:overflowPunct w:val="0"/>
              <w:autoSpaceDE w:val="0"/>
              <w:autoSpaceDN w:val="0"/>
              <w:adjustRightInd w:val="0"/>
              <w:spacing w:before="100" w:beforeAutospacing="1" w:after="180" w:line="240" w:lineRule="auto"/>
              <w:ind w:left="568" w:hanging="284"/>
              <w:textAlignment w:val="baseline"/>
              <w:rPr>
                <w:rFonts w:ascii="Times New Roman" w:eastAsia="宋体" w:hAnsi="Times New Roman" w:cs="Times New Roman"/>
                <w:sz w:val="24"/>
                <w:szCs w:val="24"/>
              </w:rPr>
            </w:pPr>
            <w:r w:rsidRPr="00DC1F41">
              <w:rPr>
                <w:rFonts w:ascii="Times New Roman" w:eastAsia="宋体" w:hAnsi="Times New Roman" w:cs="Times New Roman"/>
                <w:sz w:val="20"/>
                <w:szCs w:val="24"/>
              </w:rPr>
              <w:t>-</w:t>
            </w:r>
            <w:r w:rsidRPr="00DC1F41">
              <w:rPr>
                <w:rFonts w:ascii="Times New Roman" w:eastAsia="宋体" w:hAnsi="Times New Roman" w:cs="Times New Roman"/>
                <w:sz w:val="20"/>
                <w:szCs w:val="24"/>
              </w:rPr>
              <w:tab/>
              <w:t xml:space="preserve">the UE is not required to monitor NPDCCH candidates of an NPDCCH search space if an NPDCCH candidate of the NPDCCH search space ends in subframe </w:t>
            </w:r>
            <w:r w:rsidRPr="00DC1F41">
              <w:rPr>
                <w:rFonts w:ascii="Times New Roman" w:eastAsia="宋体" w:hAnsi="Times New Roman" w:cs="Times New Roman"/>
                <w:i/>
                <w:sz w:val="20"/>
                <w:szCs w:val="24"/>
              </w:rPr>
              <w:t>n</w:t>
            </w:r>
            <w:r w:rsidRPr="00DC1F41">
              <w:rPr>
                <w:rFonts w:ascii="Times New Roman" w:eastAsia="宋体" w:hAnsi="Times New Roman" w:cs="Times New Roman"/>
                <w:sz w:val="20"/>
                <w:szCs w:val="24"/>
              </w:rPr>
              <w:t xml:space="preserve">, and if the UE is configured to monitor NPDCCH candidates of </w:t>
            </w:r>
            <w:bookmarkStart w:id="4" w:name="_GoBack"/>
            <w:r w:rsidRPr="00DC1F41">
              <w:rPr>
                <w:rFonts w:ascii="Times New Roman" w:eastAsia="宋体" w:hAnsi="Times New Roman" w:cs="Times New Roman"/>
                <w:sz w:val="20"/>
                <w:szCs w:val="24"/>
              </w:rPr>
              <w:t xml:space="preserve">another </w:t>
            </w:r>
            <w:bookmarkEnd w:id="4"/>
            <w:r w:rsidRPr="00DC1F41">
              <w:rPr>
                <w:rFonts w:ascii="Times New Roman" w:eastAsia="宋体" w:hAnsi="Times New Roman" w:cs="Times New Roman"/>
                <w:sz w:val="20"/>
                <w:szCs w:val="24"/>
              </w:rPr>
              <w:t xml:space="preserve">NPDCCH search space having starting subframe k0 before subframe </w:t>
            </w:r>
            <w:r w:rsidRPr="00DC1F41">
              <w:rPr>
                <w:rFonts w:ascii="Times New Roman" w:eastAsia="宋体" w:hAnsi="Times New Roman" w:cs="Times New Roman"/>
                <w:i/>
                <w:sz w:val="20"/>
                <w:szCs w:val="24"/>
              </w:rPr>
              <w:t>n+5</w:t>
            </w:r>
            <w:r w:rsidRPr="00DC1F41">
              <w:rPr>
                <w:rFonts w:ascii="Times New Roman" w:eastAsia="宋体" w:hAnsi="Times New Roman" w:cs="Times New Roman"/>
                <w:sz w:val="20"/>
                <w:szCs w:val="24"/>
              </w:rPr>
              <w:t xml:space="preserve">. </w:t>
            </w:r>
          </w:p>
        </w:tc>
      </w:tr>
    </w:tbl>
    <w:p w14:paraId="07FB1926" w14:textId="77777777" w:rsidR="00C810C4" w:rsidRDefault="00DC1F41" w:rsidP="00867AAA">
      <w:pPr>
        <w:jc w:val="both"/>
        <w:rPr>
          <w:rFonts w:ascii="Times New Roman" w:eastAsia="宋体" w:hAnsi="Times New Roman" w:cs="Times New Roman"/>
          <w:sz w:val="20"/>
        </w:rPr>
      </w:pPr>
      <w:r>
        <w:rPr>
          <w:rFonts w:ascii="Times New Roman" w:eastAsia="宋体" w:hAnsi="Times New Roman" w:cs="Times New Roman" w:hint="eastAsia"/>
          <w:sz w:val="20"/>
        </w:rPr>
        <w:t>T</w:t>
      </w:r>
      <w:r>
        <w:rPr>
          <w:rFonts w:ascii="Times New Roman" w:eastAsia="宋体" w:hAnsi="Times New Roman" w:cs="Times New Roman"/>
          <w:sz w:val="20"/>
        </w:rPr>
        <w:t xml:space="preserve">hat is, when </w:t>
      </w:r>
      <w:r w:rsidR="00015EDD">
        <w:rPr>
          <w:rFonts w:ascii="Times New Roman" w:eastAsia="宋体" w:hAnsi="Times New Roman" w:cs="Times New Roman"/>
          <w:sz w:val="20"/>
        </w:rPr>
        <w:t>there is overlap between a NPDCCH candidate/searchspace and</w:t>
      </w:r>
      <w:r>
        <w:rPr>
          <w:rFonts w:ascii="Times New Roman" w:eastAsia="宋体" w:hAnsi="Times New Roman" w:cs="Times New Roman"/>
          <w:sz w:val="20"/>
        </w:rPr>
        <w:t xml:space="preserve"> </w:t>
      </w:r>
      <w:r w:rsidR="00015EDD">
        <w:rPr>
          <w:rFonts w:ascii="Times New Roman" w:eastAsia="宋体" w:hAnsi="Times New Roman" w:cs="Times New Roman"/>
          <w:sz w:val="20"/>
        </w:rPr>
        <w:t xml:space="preserve">a </w:t>
      </w:r>
      <w:r w:rsidR="00C30ADB">
        <w:rPr>
          <w:rFonts w:ascii="Times New Roman" w:eastAsia="宋体" w:hAnsi="Times New Roman" w:cs="Times New Roman"/>
          <w:sz w:val="20"/>
        </w:rPr>
        <w:t>next</w:t>
      </w:r>
      <w:r w:rsidR="00015EDD">
        <w:rPr>
          <w:rFonts w:ascii="Times New Roman" w:eastAsia="宋体" w:hAnsi="Times New Roman" w:cs="Times New Roman"/>
          <w:sz w:val="20"/>
        </w:rPr>
        <w:t xml:space="preserve"> NPDCCH search space, UE </w:t>
      </w:r>
      <w:r w:rsidR="00C30ADB">
        <w:rPr>
          <w:rFonts w:ascii="Times New Roman" w:eastAsia="宋体" w:hAnsi="Times New Roman" w:cs="Times New Roman"/>
          <w:sz w:val="20"/>
        </w:rPr>
        <w:t>is not required to monitor the NPDCCH candidate/searchspace</w:t>
      </w:r>
      <w:r w:rsidR="00015EDD">
        <w:rPr>
          <w:rFonts w:ascii="Times New Roman" w:eastAsia="宋体" w:hAnsi="Times New Roman" w:cs="Times New Roman"/>
          <w:sz w:val="20"/>
        </w:rPr>
        <w:t>.</w:t>
      </w:r>
      <w:r w:rsidR="00865DD5">
        <w:rPr>
          <w:rFonts w:ascii="Times New Roman" w:eastAsia="宋体" w:hAnsi="Times New Roman" w:cs="Times New Roman"/>
          <w:sz w:val="20"/>
        </w:rPr>
        <w:t xml:space="preserve"> Hence, per current specification, even if the periodicity for NPDCCH monitoring </w:t>
      </w:r>
      <w:r w:rsidR="00BF4790">
        <w:rPr>
          <w:rFonts w:ascii="Times New Roman" w:eastAsia="宋体" w:hAnsi="Times New Roman" w:cs="Times New Roman"/>
          <w:sz w:val="20"/>
        </w:rPr>
        <w:t>does not match the</w:t>
      </w:r>
      <w:r w:rsidR="00015EDD">
        <w:rPr>
          <w:rFonts w:ascii="Times New Roman" w:eastAsia="宋体" w:hAnsi="Times New Roman" w:cs="Times New Roman"/>
          <w:sz w:val="20"/>
        </w:rPr>
        <w:t xml:space="preserve"> </w:t>
      </w:r>
      <w:r w:rsidR="00C30ADB">
        <w:rPr>
          <w:rFonts w:ascii="Times New Roman" w:eastAsia="宋体" w:hAnsi="Times New Roman" w:cs="Times New Roman"/>
          <w:sz w:val="20"/>
        </w:rPr>
        <w:t>TDD periodicity and cause overlap of NPDCCH</w:t>
      </w:r>
      <w:r w:rsidR="00BF4790">
        <w:rPr>
          <w:rFonts w:ascii="Times New Roman" w:eastAsia="宋体" w:hAnsi="Times New Roman" w:cs="Times New Roman"/>
          <w:sz w:val="20"/>
        </w:rPr>
        <w:t xml:space="preserve"> after postponement, the UE behavior is still clear and the latest NPDCCH search space can be valid. </w:t>
      </w:r>
      <w:r w:rsidR="008B2B1C">
        <w:rPr>
          <w:rFonts w:ascii="Times New Roman" w:eastAsia="宋体" w:hAnsi="Times New Roman" w:cs="Times New Roman"/>
          <w:sz w:val="20"/>
        </w:rPr>
        <w:t>There is</w:t>
      </w:r>
      <w:r w:rsidR="00692BB5">
        <w:rPr>
          <w:rFonts w:ascii="Times New Roman" w:eastAsia="宋体" w:hAnsi="Times New Roman" w:cs="Times New Roman"/>
          <w:sz w:val="20"/>
        </w:rPr>
        <w:t xml:space="preserve"> no need to introduce new periodicities for NPDCCH monitoring. </w:t>
      </w:r>
    </w:p>
    <w:p w14:paraId="218F138B" w14:textId="543B0BCB" w:rsidR="00912A4D" w:rsidRDefault="00C810C4" w:rsidP="00867AAA">
      <w:pPr>
        <w:jc w:val="both"/>
        <w:rPr>
          <w:rFonts w:ascii="Times New Roman" w:eastAsia="宋体" w:hAnsi="Times New Roman" w:cs="Times New Roman"/>
          <w:sz w:val="20"/>
        </w:rPr>
      </w:pPr>
      <w:r>
        <w:rPr>
          <w:rFonts w:ascii="Times New Roman" w:eastAsia="宋体" w:hAnsi="Times New Roman" w:cs="Times New Roman"/>
          <w:sz w:val="20"/>
        </w:rPr>
        <w:t xml:space="preserve">Regarding configuration values for NPDCCH, </w:t>
      </w:r>
      <w:r w:rsidR="00692BB5">
        <w:rPr>
          <w:rFonts w:ascii="Times New Roman" w:eastAsia="宋体" w:hAnsi="Times New Roman" w:cs="Times New Roman"/>
          <w:sz w:val="20"/>
        </w:rPr>
        <w:t>all the configuration values can be valid</w:t>
      </w:r>
      <w:r>
        <w:rPr>
          <w:rFonts w:ascii="Times New Roman" w:eastAsia="宋体" w:hAnsi="Times New Roman" w:cs="Times New Roman"/>
          <w:sz w:val="20"/>
        </w:rPr>
        <w:t xml:space="preserve"> to provide maximum flexibility</w:t>
      </w:r>
      <w:r w:rsidR="00692BB5">
        <w:rPr>
          <w:rFonts w:ascii="Times New Roman" w:eastAsia="宋体" w:hAnsi="Times New Roman" w:cs="Times New Roman"/>
          <w:sz w:val="20"/>
        </w:rPr>
        <w:t xml:space="preserve"> and it </w:t>
      </w:r>
      <w:r>
        <w:rPr>
          <w:rFonts w:ascii="Times New Roman" w:eastAsia="宋体" w:hAnsi="Times New Roman" w:cs="Times New Roman"/>
          <w:sz w:val="20"/>
        </w:rPr>
        <w:t>can be</w:t>
      </w:r>
      <w:r w:rsidR="00692BB5">
        <w:rPr>
          <w:rFonts w:ascii="Times New Roman" w:eastAsia="宋体" w:hAnsi="Times New Roman" w:cs="Times New Roman"/>
          <w:sz w:val="20"/>
        </w:rPr>
        <w:t xml:space="preserve"> up to eNB implementation to avoid </w:t>
      </w:r>
      <w:r w:rsidR="008B2B1C">
        <w:rPr>
          <w:rFonts w:ascii="Times New Roman" w:eastAsia="宋体" w:hAnsi="Times New Roman" w:cs="Times New Roman"/>
          <w:sz w:val="20"/>
        </w:rPr>
        <w:t>configuring the parameters that cannot be used.</w:t>
      </w:r>
      <w:r w:rsidR="00D149BF">
        <w:rPr>
          <w:rFonts w:ascii="Times New Roman" w:eastAsia="宋体" w:hAnsi="Times New Roman" w:cs="Times New Roman"/>
          <w:sz w:val="20"/>
        </w:rPr>
        <w:t xml:space="preserve"> If it is really needed to remove some configurations values that not possible to use, the configuration value Rmax={1024, 2048} can be removed, since the D subframe number within an H-SFN is smaller than 1024.</w:t>
      </w:r>
    </w:p>
    <w:p w14:paraId="0BEEED72" w14:textId="03124DAF" w:rsidR="00181D49" w:rsidRPr="00181D49" w:rsidRDefault="00181D49" w:rsidP="00181D49">
      <w:pPr>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3</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NPDCCH overlapping with non-D NB-IoT subframes will be postponed to NB-IoT DL subframes per current specification and agreement</w:t>
      </w:r>
      <w:r w:rsidRPr="00181D49">
        <w:rPr>
          <w:rFonts w:ascii="Times New Roman" w:eastAsia="宋体" w:hAnsi="Times New Roman" w:cs="Times New Roman"/>
          <w:bCs/>
          <w:i/>
          <w:iCs/>
          <w:sz w:val="20"/>
        </w:rPr>
        <w:t>.</w:t>
      </w:r>
    </w:p>
    <w:p w14:paraId="203E2A71" w14:textId="38307F29" w:rsidR="00181D49" w:rsidRDefault="00181D49" w:rsidP="00181D49">
      <w:pPr>
        <w:jc w:val="both"/>
        <w:rPr>
          <w:rFonts w:ascii="Times New Roman" w:eastAsia="Calibri" w:hAnsi="Times New Roman" w:cs="Times New Roman"/>
          <w:bCs/>
          <w:i/>
          <w:iCs/>
          <w:sz w:val="20"/>
        </w:rPr>
      </w:pPr>
      <w:r>
        <w:rPr>
          <w:rFonts w:ascii="Times New Roman" w:eastAsia="宋体" w:hAnsi="Times New Roman" w:cs="Times New Roman" w:hint="eastAsia"/>
          <w:b/>
          <w:bCs/>
          <w:i/>
          <w:iCs/>
          <w:sz w:val="20"/>
        </w:rPr>
        <w:lastRenderedPageBreak/>
        <w:t xml:space="preserve">Observation </w:t>
      </w:r>
      <w:r>
        <w:rPr>
          <w:rFonts w:ascii="Times New Roman" w:eastAsia="宋体" w:hAnsi="Times New Roman" w:cs="Times New Roman"/>
          <w:b/>
          <w:bCs/>
          <w:i/>
          <w:iCs/>
          <w:sz w:val="20"/>
        </w:rPr>
        <w:t>4</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Current specifications have already defined rules to handle the overlap of NPDCCH search spaces</w:t>
      </w:r>
      <w:r>
        <w:rPr>
          <w:rFonts w:ascii="Times New Roman" w:eastAsia="Calibri" w:hAnsi="Times New Roman" w:cs="Times New Roman"/>
          <w:bCs/>
          <w:i/>
          <w:iCs/>
          <w:sz w:val="20"/>
        </w:rPr>
        <w:t>. That is, the overlap of NPDCCH search spaces due to postponement can be handled by current specification</w:t>
      </w:r>
      <w:r w:rsidR="006756AF">
        <w:rPr>
          <w:rFonts w:ascii="Times New Roman" w:eastAsia="Calibri" w:hAnsi="Times New Roman" w:cs="Times New Roman"/>
          <w:bCs/>
          <w:i/>
          <w:iCs/>
          <w:sz w:val="20"/>
        </w:rPr>
        <w:t xml:space="preserve"> and no need to match the periodicity of NPDCCH monitoring and TDD pattern.</w:t>
      </w:r>
    </w:p>
    <w:p w14:paraId="070F5815" w14:textId="3BB86892" w:rsidR="008A02FF" w:rsidRPr="008E22A6" w:rsidRDefault="008A02FF" w:rsidP="008A02FF">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3</w:t>
      </w:r>
      <w:r>
        <w:rPr>
          <w:rFonts w:ascii="Times New Roman" w:eastAsia="Calibri" w:hAnsi="Times New Roman" w:cs="Times New Roman" w:hint="eastAsia"/>
          <w:b/>
          <w:bCs/>
          <w:i/>
          <w:iCs/>
          <w:sz w:val="20"/>
        </w:rPr>
        <w:t xml:space="preserve">: </w:t>
      </w:r>
      <w:r w:rsidR="006756AF">
        <w:rPr>
          <w:rFonts w:ascii="Times New Roman" w:eastAsia="宋体" w:hAnsi="Times New Roman" w:cs="Times New Roman"/>
          <w:bCs/>
          <w:i/>
          <w:iCs/>
          <w:sz w:val="20"/>
        </w:rPr>
        <w:t>No need to introduce new NPDCCH monitoring periodicities</w:t>
      </w:r>
      <w:r>
        <w:rPr>
          <w:rFonts w:ascii="Times New Roman" w:eastAsia="Calibri" w:hAnsi="Times New Roman" w:cs="Times New Roman"/>
          <w:bCs/>
          <w:i/>
          <w:iCs/>
          <w:sz w:val="20"/>
        </w:rPr>
        <w:t>.</w:t>
      </w:r>
    </w:p>
    <w:p w14:paraId="61151479" w14:textId="07CAFF3F" w:rsidR="006756AF" w:rsidRPr="008E22A6" w:rsidRDefault="006756AF" w:rsidP="006756AF">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sidR="00D149BF">
        <w:rPr>
          <w:rFonts w:ascii="Times New Roman" w:eastAsia="Calibri" w:hAnsi="Times New Roman" w:cs="Times New Roman"/>
          <w:b/>
          <w:bCs/>
          <w:i/>
          <w:iCs/>
          <w:sz w:val="20"/>
        </w:rPr>
        <w:t>4</w:t>
      </w:r>
      <w:r>
        <w:rPr>
          <w:rFonts w:ascii="Times New Roman" w:eastAsia="Calibri" w:hAnsi="Times New Roman" w:cs="Times New Roman" w:hint="eastAsia"/>
          <w:b/>
          <w:bCs/>
          <w:i/>
          <w:iCs/>
          <w:sz w:val="20"/>
        </w:rPr>
        <w:t xml:space="preserve">: </w:t>
      </w:r>
      <w:r w:rsidR="00D149BF">
        <w:rPr>
          <w:rFonts w:ascii="Times New Roman" w:eastAsia="宋体" w:hAnsi="Times New Roman" w:cs="Times New Roman"/>
          <w:bCs/>
          <w:i/>
          <w:iCs/>
          <w:sz w:val="20"/>
        </w:rPr>
        <w:t xml:space="preserve">All the configuration values for NPDCCH can be kept to provide higher configuration flexibility and minimize spec effort. </w:t>
      </w:r>
      <w:r w:rsidR="003C70CD">
        <w:rPr>
          <w:rFonts w:ascii="Times New Roman" w:eastAsia="宋体" w:hAnsi="Times New Roman" w:cs="Times New Roman"/>
          <w:bCs/>
          <w:i/>
          <w:iCs/>
          <w:sz w:val="20"/>
        </w:rPr>
        <w:t>eNB can avoid the configuration of improper values (e.g., too large repetition number) up to implementation.</w:t>
      </w:r>
    </w:p>
    <w:p w14:paraId="4EA6CC56" w14:textId="6034EBD6" w:rsidR="009752B6" w:rsidRDefault="009752B6" w:rsidP="009752B6">
      <w:pPr>
        <w:pStyle w:val="2"/>
        <w:numPr>
          <w:ilvl w:val="1"/>
          <w:numId w:val="3"/>
        </w:numPr>
        <w:spacing w:before="0" w:after="0"/>
        <w:rPr>
          <w:rFonts w:cs="Times New Roman"/>
          <w:bCs/>
          <w:sz w:val="20"/>
          <w:szCs w:val="20"/>
        </w:rPr>
      </w:pPr>
      <w:r>
        <w:rPr>
          <w:rFonts w:ascii="Times New Roman" w:hAnsi="Times New Roman" w:cs="Times New Roman" w:hint="eastAsia"/>
          <w:sz w:val="20"/>
          <w:szCs w:val="20"/>
        </w:rPr>
        <w:t>DL</w:t>
      </w:r>
      <w:r>
        <w:rPr>
          <w:rFonts w:ascii="Times New Roman" w:hAnsi="Times New Roman" w:cs="Times New Roman"/>
          <w:sz w:val="20"/>
          <w:szCs w:val="20"/>
        </w:rPr>
        <w:t xml:space="preserve"> </w:t>
      </w:r>
      <w:r w:rsidR="002635CB">
        <w:rPr>
          <w:rFonts w:ascii="Times New Roman" w:hAnsi="Times New Roman" w:cs="Times New Roman"/>
          <w:sz w:val="20"/>
          <w:szCs w:val="20"/>
        </w:rPr>
        <w:t xml:space="preserve">transmission </w:t>
      </w:r>
      <w:r>
        <w:rPr>
          <w:rFonts w:ascii="Times New Roman" w:hAnsi="Times New Roman" w:cs="Times New Roman"/>
          <w:sz w:val="20"/>
          <w:szCs w:val="20"/>
        </w:rPr>
        <w:t>gap</w:t>
      </w:r>
    </w:p>
    <w:p w14:paraId="21B5DD23" w14:textId="7FCC62B4" w:rsidR="00F20382" w:rsidRDefault="002635CB">
      <w:pPr>
        <w:jc w:val="both"/>
        <w:rPr>
          <w:rFonts w:ascii="Times" w:eastAsia="宋体" w:hAnsi="Times" w:cs="Times New Roman"/>
          <w:bCs/>
          <w:sz w:val="20"/>
          <w:szCs w:val="20"/>
          <w:lang w:val="en-GB"/>
        </w:rPr>
      </w:pPr>
      <w:r w:rsidRPr="007F601C">
        <w:rPr>
          <w:rFonts w:ascii="Times New Roman" w:eastAsia="宋体" w:hAnsi="Times New Roman" w:cs="Times New Roman"/>
          <w:sz w:val="20"/>
        </w:rPr>
        <w:t xml:space="preserve">In RAN1#120, </w:t>
      </w:r>
      <w:r>
        <w:rPr>
          <w:rFonts w:ascii="Times New Roman" w:eastAsia="宋体" w:hAnsi="Times New Roman" w:cs="Times New Roman"/>
          <w:sz w:val="20"/>
        </w:rPr>
        <w:t>the handling of DL transmission gap is left as FFS</w:t>
      </w:r>
      <w:r>
        <w:rPr>
          <w:rFonts w:ascii="Times" w:eastAsia="宋体" w:hAnsi="Times" w:cs="Times New Roman"/>
          <w:bCs/>
          <w:sz w:val="20"/>
          <w:szCs w:val="20"/>
          <w:lang w:val="en-GB"/>
        </w:rPr>
        <w:t>. The DL transmission gap is designed to enable UE to monitor NPDCCH during long NPDSCH</w:t>
      </w:r>
      <w:r w:rsidR="00415352">
        <w:rPr>
          <w:rFonts w:ascii="Times" w:eastAsia="宋体" w:hAnsi="Times" w:cs="Times New Roman"/>
          <w:bCs/>
          <w:sz w:val="20"/>
          <w:szCs w:val="20"/>
          <w:lang w:val="en-GB"/>
        </w:rPr>
        <w:t>/NPDCCH</w:t>
      </w:r>
      <w:r>
        <w:rPr>
          <w:rFonts w:ascii="Times" w:eastAsia="宋体" w:hAnsi="Times" w:cs="Times New Roman"/>
          <w:bCs/>
          <w:sz w:val="20"/>
          <w:szCs w:val="20"/>
          <w:lang w:val="en-GB"/>
        </w:rPr>
        <w:t xml:space="preserve"> repetition. According to</w:t>
      </w:r>
      <w:r w:rsidR="00415352">
        <w:rPr>
          <w:rFonts w:ascii="Times" w:eastAsia="宋体" w:hAnsi="Times" w:cs="Times New Roman"/>
          <w:bCs/>
          <w:sz w:val="20"/>
          <w:szCs w:val="20"/>
          <w:lang w:val="en-GB"/>
        </w:rPr>
        <w:t xml:space="preserve"> assumptions in study phase, the DL link budget is high and long NPDSCH/NPDCCH repetition may not be needed. </w:t>
      </w:r>
      <w:r w:rsidR="00D42BEB">
        <w:rPr>
          <w:rFonts w:ascii="Times" w:eastAsia="宋体" w:hAnsi="Times" w:cs="Times New Roman"/>
          <w:bCs/>
          <w:sz w:val="20"/>
          <w:szCs w:val="20"/>
          <w:lang w:val="en-GB"/>
        </w:rPr>
        <w:t xml:space="preserve">Moreover, the periodicity and gap duration of DL transmission gap is defined based on absolute duration, which can work even if no adaption to TDD mode. </w:t>
      </w:r>
      <w:r w:rsidR="00415352">
        <w:rPr>
          <w:rFonts w:ascii="Times" w:eastAsia="宋体" w:hAnsi="Times" w:cs="Times New Roman"/>
          <w:bCs/>
          <w:sz w:val="20"/>
          <w:szCs w:val="20"/>
          <w:lang w:val="en-GB"/>
        </w:rPr>
        <w:t xml:space="preserve">Hence, specific enhancement on DL transmission gap </w:t>
      </w:r>
      <w:r w:rsidR="00D42BEB">
        <w:rPr>
          <w:rFonts w:ascii="Times" w:eastAsia="宋体" w:hAnsi="Times" w:cs="Times New Roman"/>
          <w:bCs/>
          <w:sz w:val="20"/>
          <w:szCs w:val="20"/>
          <w:lang w:val="en-GB"/>
        </w:rPr>
        <w:t xml:space="preserve">for IoT-NTN TDD </w:t>
      </w:r>
      <w:r w:rsidR="00415352">
        <w:rPr>
          <w:rFonts w:ascii="Times" w:eastAsia="宋体" w:hAnsi="Times" w:cs="Times New Roman"/>
          <w:bCs/>
          <w:sz w:val="20"/>
          <w:szCs w:val="20"/>
          <w:lang w:val="en-GB"/>
        </w:rPr>
        <w:t>is not necessary.</w:t>
      </w:r>
    </w:p>
    <w:p w14:paraId="5BF27D1B" w14:textId="7C89520F" w:rsidR="00846667" w:rsidRPr="006756AF" w:rsidRDefault="00846667" w:rsidP="00846667">
      <w:pPr>
        <w:jc w:val="both"/>
        <w:rPr>
          <w:rFonts w:ascii="Times New Roman" w:hAnsi="Times New Roman" w:cs="Times New Roman"/>
          <w:bCs/>
          <w:i/>
          <w:iCs/>
          <w:sz w:val="20"/>
        </w:rPr>
      </w:pPr>
      <w:r>
        <w:rPr>
          <w:rFonts w:ascii="Times New Roman" w:eastAsia="宋体" w:hAnsi="Times New Roman" w:cs="Times New Roman" w:hint="eastAsia"/>
          <w:b/>
          <w:bCs/>
          <w:i/>
          <w:iCs/>
          <w:sz w:val="20"/>
        </w:rPr>
        <w:t xml:space="preserve">Observation </w:t>
      </w:r>
      <w:r w:rsidR="00C810C4">
        <w:rPr>
          <w:rFonts w:ascii="Times New Roman" w:eastAsia="宋体" w:hAnsi="Times New Roman" w:cs="Times New Roman"/>
          <w:b/>
          <w:bCs/>
          <w:i/>
          <w:iCs/>
          <w:sz w:val="20"/>
        </w:rPr>
        <w:t>5</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According to assumptions in study phase, the DL link budget is high and long DL repetition may not be needed</w:t>
      </w:r>
      <w:r>
        <w:rPr>
          <w:rFonts w:ascii="Times New Roman" w:eastAsia="Calibri" w:hAnsi="Times New Roman" w:cs="Times New Roman"/>
          <w:bCs/>
          <w:i/>
          <w:iCs/>
          <w:sz w:val="20"/>
        </w:rPr>
        <w:t>. Enhancement on DL transmission gap is not necessary.</w:t>
      </w:r>
    </w:p>
    <w:p w14:paraId="09CFDCA7" w14:textId="5659CFC6" w:rsidR="00846667" w:rsidRPr="00E013B1" w:rsidRDefault="00846667">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sidR="00157B59">
        <w:rPr>
          <w:rFonts w:ascii="Times New Roman" w:eastAsia="Calibri" w:hAnsi="Times New Roman" w:cs="Times New Roman"/>
          <w:b/>
          <w:bCs/>
          <w:i/>
          <w:iCs/>
          <w:sz w:val="20"/>
        </w:rPr>
        <w:t>5</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 xml:space="preserve">No need to </w:t>
      </w:r>
      <w:r w:rsidR="00D42BEB">
        <w:rPr>
          <w:rFonts w:ascii="Times New Roman" w:eastAsia="宋体" w:hAnsi="Times New Roman" w:cs="Times New Roman"/>
          <w:bCs/>
          <w:i/>
          <w:iCs/>
          <w:sz w:val="20"/>
        </w:rPr>
        <w:t>modify the mechanism of DL transmission gap for IoT-NTN TDD.</w:t>
      </w:r>
    </w:p>
    <w:p w14:paraId="6AFF7F1D" w14:textId="646B9B71" w:rsidR="003B0640" w:rsidRDefault="003B0640" w:rsidP="003B0640">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Discussion on UL transmission</w:t>
      </w:r>
    </w:p>
    <w:p w14:paraId="2150D268" w14:textId="28AF089B" w:rsidR="00013EE7" w:rsidRDefault="003B0640" w:rsidP="00013EE7">
      <w:pPr>
        <w:pStyle w:val="2"/>
        <w:numPr>
          <w:ilvl w:val="1"/>
          <w:numId w:val="3"/>
        </w:numPr>
        <w:spacing w:before="0" w:after="0"/>
        <w:rPr>
          <w:rFonts w:cs="Times New Roman"/>
          <w:bCs/>
          <w:sz w:val="20"/>
          <w:szCs w:val="20"/>
        </w:rPr>
      </w:pPr>
      <w:r>
        <w:rPr>
          <w:rFonts w:ascii="Times New Roman" w:hAnsi="Times New Roman" w:cs="Times New Roman"/>
          <w:sz w:val="20"/>
          <w:szCs w:val="20"/>
        </w:rPr>
        <w:t>NPRACH</w:t>
      </w:r>
    </w:p>
    <w:p w14:paraId="762E80C3" w14:textId="26DDCB6B" w:rsidR="008D326C" w:rsidRDefault="008D326C" w:rsidP="008D326C">
      <w:pPr>
        <w:jc w:val="both"/>
        <w:rPr>
          <w:rFonts w:ascii="Times" w:eastAsia="宋体" w:hAnsi="Times" w:cs="Times New Roman"/>
          <w:bCs/>
          <w:sz w:val="20"/>
          <w:szCs w:val="20"/>
          <w:lang w:val="en-GB"/>
        </w:rPr>
      </w:pPr>
      <w:r w:rsidRPr="007F601C">
        <w:rPr>
          <w:rFonts w:ascii="Times New Roman" w:eastAsia="宋体" w:hAnsi="Times New Roman" w:cs="Times New Roman"/>
          <w:sz w:val="20"/>
        </w:rPr>
        <w:t>In RAN1#120, it was agreed that</w:t>
      </w:r>
      <w:r>
        <w:rPr>
          <w:rFonts w:ascii="Times" w:eastAsia="宋体" w:hAnsi="Times" w:cs="Times New Roman"/>
          <w:bCs/>
          <w:sz w:val="20"/>
          <w:szCs w:val="20"/>
          <w:lang w:val="en-GB"/>
        </w:rPr>
        <w:t xml:space="preserve"> </w:t>
      </w:r>
      <w:r w:rsidRPr="00DC5BFF">
        <w:rPr>
          <w:rFonts w:ascii="Times" w:eastAsia="宋体" w:hAnsi="Times" w:cs="Times New Roman"/>
          <w:bCs/>
          <w:sz w:val="20"/>
          <w:szCs w:val="20"/>
          <w:lang w:val="en-GB"/>
        </w:rPr>
        <w:t>non-</w:t>
      </w:r>
      <w:r>
        <w:rPr>
          <w:rFonts w:ascii="Times" w:eastAsia="宋体" w:hAnsi="Times" w:cs="Times New Roman"/>
          <w:bCs/>
          <w:sz w:val="20"/>
          <w:szCs w:val="20"/>
          <w:lang w:val="en-GB"/>
        </w:rPr>
        <w:t>U</w:t>
      </w:r>
      <w:r w:rsidRPr="00DC5BFF">
        <w:rPr>
          <w:rFonts w:ascii="Times" w:eastAsia="宋体" w:hAnsi="Times" w:cs="Times New Roman"/>
          <w:bCs/>
          <w:sz w:val="20"/>
          <w:szCs w:val="20"/>
          <w:lang w:val="en-GB"/>
        </w:rPr>
        <w:t xml:space="preserve"> NB-IoT subframes are not considered by the UE as “NB-IoT </w:t>
      </w:r>
      <w:r>
        <w:rPr>
          <w:rFonts w:ascii="Times" w:eastAsia="宋体" w:hAnsi="Times" w:cs="Times New Roman"/>
          <w:bCs/>
          <w:sz w:val="20"/>
          <w:szCs w:val="20"/>
          <w:lang w:val="en-GB"/>
        </w:rPr>
        <w:t>U</w:t>
      </w:r>
      <w:r w:rsidRPr="00DC5BFF">
        <w:rPr>
          <w:rFonts w:ascii="Times" w:eastAsia="宋体" w:hAnsi="Times" w:cs="Times New Roman"/>
          <w:bCs/>
          <w:sz w:val="20"/>
          <w:szCs w:val="20"/>
          <w:lang w:val="en-GB"/>
        </w:rPr>
        <w:t>L subframes”</w:t>
      </w:r>
      <w:r>
        <w:rPr>
          <w:rFonts w:ascii="Times" w:eastAsia="宋体" w:hAnsi="Times" w:cs="Times New Roman"/>
          <w:bCs/>
          <w:sz w:val="20"/>
          <w:szCs w:val="20"/>
          <w:lang w:val="en-GB"/>
        </w:rPr>
        <w:t>. However, how to handle the NPRACH on non-U NB-IoT subframes is still pending. Following two options are agreed for further consideration:</w:t>
      </w:r>
    </w:p>
    <w:p w14:paraId="481358FA" w14:textId="77777777" w:rsidR="008D326C" w:rsidRPr="00DC5BFF" w:rsidRDefault="008D326C" w:rsidP="008D326C">
      <w:pPr>
        <w:numPr>
          <w:ilvl w:val="0"/>
          <w:numId w:val="18"/>
        </w:numPr>
        <w:overflowPunct w:val="0"/>
        <w:autoSpaceDE w:val="0"/>
        <w:autoSpaceDN w:val="0"/>
        <w:adjustRightInd w:val="0"/>
        <w:spacing w:after="0" w:line="240" w:lineRule="auto"/>
        <w:contextualSpacing/>
        <w:textAlignment w:val="baseline"/>
        <w:rPr>
          <w:rFonts w:ascii="Times" w:eastAsia="Batang" w:hAnsi="Times" w:cs="Times New Roman"/>
          <w:bCs/>
          <w:sz w:val="20"/>
          <w:szCs w:val="24"/>
          <w:lang w:val="en-GB"/>
        </w:rPr>
      </w:pPr>
      <w:r w:rsidRPr="00DC5BFF">
        <w:rPr>
          <w:rFonts w:ascii="Times" w:eastAsia="Batang" w:hAnsi="Times" w:cs="Times New Roman"/>
          <w:bCs/>
          <w:sz w:val="20"/>
          <w:szCs w:val="24"/>
          <w:lang w:val="en-GB"/>
        </w:rPr>
        <w:t>Option 1: New NPRACH periodicities (multiple of 90ms) are introduced for NB-IoT NTN TDD.</w:t>
      </w:r>
    </w:p>
    <w:p w14:paraId="29493CF9" w14:textId="77777777" w:rsidR="008D326C" w:rsidRPr="00DC5BFF" w:rsidRDefault="008D326C" w:rsidP="008D326C">
      <w:pPr>
        <w:numPr>
          <w:ilvl w:val="0"/>
          <w:numId w:val="18"/>
        </w:numPr>
        <w:overflowPunct w:val="0"/>
        <w:autoSpaceDE w:val="0"/>
        <w:autoSpaceDN w:val="0"/>
        <w:adjustRightInd w:val="0"/>
        <w:spacing w:after="0" w:line="240" w:lineRule="auto"/>
        <w:contextualSpacing/>
        <w:textAlignment w:val="baseline"/>
        <w:rPr>
          <w:rFonts w:ascii="Times" w:eastAsia="Batang" w:hAnsi="Times" w:cs="Times New Roman"/>
          <w:bCs/>
          <w:sz w:val="20"/>
          <w:szCs w:val="24"/>
          <w:lang w:val="en-GB"/>
        </w:rPr>
      </w:pPr>
      <w:r w:rsidRPr="00DC5BFF">
        <w:rPr>
          <w:rFonts w:ascii="Times" w:eastAsia="Batang" w:hAnsi="Times" w:cs="Times New Roman"/>
          <w:bCs/>
          <w:sz w:val="20"/>
          <w:szCs w:val="24"/>
          <w:lang w:val="en-GB"/>
        </w:rPr>
        <w:t xml:space="preserve">Option 2: </w:t>
      </w:r>
      <w:bookmarkStart w:id="5" w:name="_Hlk193889997"/>
      <w:r w:rsidRPr="00DC5BFF">
        <w:rPr>
          <w:rFonts w:ascii="Times" w:eastAsia="Batang" w:hAnsi="Times" w:cs="Times New Roman"/>
          <w:bCs/>
          <w:sz w:val="20"/>
          <w:szCs w:val="24"/>
          <w:lang w:val="en-GB"/>
        </w:rPr>
        <w:t>NPRACH transmissions are postponed in non-U NB-IoT subframes until the next U NB-IoT subframe(s)</w:t>
      </w:r>
      <w:bookmarkEnd w:id="5"/>
    </w:p>
    <w:p w14:paraId="79B4E13D" w14:textId="77777777" w:rsidR="008D326C" w:rsidRPr="00DC5BFF" w:rsidRDefault="008D326C" w:rsidP="008D326C">
      <w:pPr>
        <w:numPr>
          <w:ilvl w:val="1"/>
          <w:numId w:val="18"/>
        </w:numPr>
        <w:overflowPunct w:val="0"/>
        <w:autoSpaceDE w:val="0"/>
        <w:autoSpaceDN w:val="0"/>
        <w:adjustRightInd w:val="0"/>
        <w:spacing w:after="0" w:line="240" w:lineRule="auto"/>
        <w:contextualSpacing/>
        <w:textAlignment w:val="baseline"/>
        <w:rPr>
          <w:rFonts w:ascii="Times" w:eastAsia="Batang" w:hAnsi="Times" w:cs="Times New Roman"/>
          <w:bCs/>
          <w:sz w:val="20"/>
          <w:szCs w:val="24"/>
          <w:lang w:val="en-GB"/>
        </w:rPr>
      </w:pPr>
      <w:r w:rsidRPr="00DC5BFF">
        <w:rPr>
          <w:rFonts w:ascii="Times" w:eastAsia="Batang" w:hAnsi="Times" w:cs="Times New Roman"/>
          <w:bCs/>
          <w:sz w:val="20"/>
          <w:szCs w:val="24"/>
          <w:lang w:val="en-GB"/>
        </w:rPr>
        <w:t xml:space="preserve">FFS: The unit of postponement (e.g. </w:t>
      </w:r>
      <w:r w:rsidRPr="00DC5BFF">
        <w:rPr>
          <w:rFonts w:ascii="Times" w:eastAsia="Batang" w:hAnsi="Times" w:cs="Times New Roman"/>
          <w:bCs/>
          <w:iCs/>
          <w:sz w:val="20"/>
          <w:szCs w:val="24"/>
          <w:lang w:val="en-GB"/>
        </w:rPr>
        <w:t>PRU)</w:t>
      </w:r>
    </w:p>
    <w:p w14:paraId="7E620BCF" w14:textId="769C4251" w:rsidR="008D326C" w:rsidRDefault="00D54941" w:rsidP="00013EE7">
      <w:pPr>
        <w:jc w:val="both"/>
        <w:rPr>
          <w:rFonts w:ascii="Times New Roman" w:eastAsia="宋体" w:hAnsi="Times New Roman" w:cs="Times New Roman"/>
          <w:sz w:val="20"/>
          <w:lang w:val="en-GB"/>
        </w:rPr>
      </w:pPr>
      <w:r>
        <w:rPr>
          <w:rFonts w:ascii="Times New Roman" w:eastAsia="宋体" w:hAnsi="Times New Roman" w:cs="Times New Roman"/>
          <w:sz w:val="20"/>
          <w:lang w:val="en-GB"/>
        </w:rPr>
        <w:t xml:space="preserve">Regarding </w:t>
      </w:r>
      <w:r w:rsidR="002F2F9D">
        <w:rPr>
          <w:rFonts w:ascii="Times New Roman" w:eastAsia="宋体" w:hAnsi="Times New Roman" w:cs="Times New Roman"/>
          <w:sz w:val="20"/>
          <w:lang w:val="en-GB"/>
        </w:rPr>
        <w:t>above options</w:t>
      </w:r>
      <w:r w:rsidR="00E21F84">
        <w:rPr>
          <w:rFonts w:ascii="Times New Roman" w:eastAsia="宋体" w:hAnsi="Times New Roman" w:cs="Times New Roman"/>
          <w:sz w:val="20"/>
          <w:lang w:val="en-GB"/>
        </w:rPr>
        <w:t xml:space="preserve">, option 2 </w:t>
      </w:r>
      <w:r>
        <w:rPr>
          <w:rFonts w:ascii="Times New Roman" w:eastAsia="宋体" w:hAnsi="Times New Roman" w:cs="Times New Roman"/>
          <w:sz w:val="20"/>
          <w:lang w:val="en-GB"/>
        </w:rPr>
        <w:t xml:space="preserve">can be adopted so that NPRACH repetition transmission can be allowed. </w:t>
      </w:r>
      <w:r w:rsidR="00C72206">
        <w:rPr>
          <w:rFonts w:ascii="Times New Roman" w:eastAsia="宋体" w:hAnsi="Times New Roman" w:cs="Times New Roman"/>
          <w:sz w:val="20"/>
          <w:lang w:val="en-GB"/>
        </w:rPr>
        <w:t xml:space="preserve">Moreover, eNB </w:t>
      </w:r>
      <w:r w:rsidR="00E013B1">
        <w:rPr>
          <w:rFonts w:ascii="Times New Roman" w:eastAsia="宋体" w:hAnsi="Times New Roman" w:cs="Times New Roman"/>
          <w:sz w:val="20"/>
          <w:lang w:val="en-GB"/>
        </w:rPr>
        <w:t>can</w:t>
      </w:r>
      <w:r w:rsidR="00C72206">
        <w:rPr>
          <w:rFonts w:ascii="Times New Roman" w:eastAsia="宋体" w:hAnsi="Times New Roman" w:cs="Times New Roman"/>
          <w:sz w:val="20"/>
          <w:lang w:val="en-GB"/>
        </w:rPr>
        <w:t xml:space="preserve"> utilize the frequency hopping of symbol group</w:t>
      </w:r>
      <w:r w:rsidR="00E013B1">
        <w:rPr>
          <w:rFonts w:ascii="Times New Roman" w:eastAsia="宋体" w:hAnsi="Times New Roman" w:cs="Times New Roman"/>
          <w:sz w:val="20"/>
          <w:lang w:val="en-GB"/>
        </w:rPr>
        <w:t xml:space="preserve"> to estimate the timing offset. Hence, the unit of postponement should be based on preamble repetition unit (PRU) to keep the complete NPRACH structure.</w:t>
      </w:r>
    </w:p>
    <w:p w14:paraId="63A910E3" w14:textId="1A704CBF" w:rsidR="0068418D" w:rsidRPr="0068418D" w:rsidRDefault="0068418D" w:rsidP="00013EE7">
      <w:pPr>
        <w:jc w:val="both"/>
        <w:rPr>
          <w:rFonts w:ascii="Times New Roman" w:eastAsia="宋体" w:hAnsi="Times New Roman" w:cs="Times New Roman"/>
          <w:sz w:val="20"/>
        </w:rPr>
      </w:pPr>
      <w:r>
        <w:rPr>
          <w:rFonts w:ascii="Times New Roman" w:eastAsia="宋体" w:hAnsi="Times New Roman" w:cs="Times New Roman"/>
          <w:sz w:val="20"/>
        </w:rPr>
        <w:t>The target of Option 1 is to match the periodicity of NPRACH and TDD pattern, to ensure the start of NPRACH can locate within U subframes. However, after implementing option 2, the start of NPRACH can be postponed to a U subframe even if it originally locates at non-U subframes. Hence, option 1 seems not necessary after adopting option 2.</w:t>
      </w:r>
    </w:p>
    <w:p w14:paraId="1EC71917" w14:textId="5F509911" w:rsidR="00E013B1" w:rsidRDefault="00E013B1" w:rsidP="00E013B1">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sidR="00157B59">
        <w:rPr>
          <w:rFonts w:ascii="Times New Roman" w:eastAsia="Calibri" w:hAnsi="Times New Roman" w:cs="Times New Roman"/>
          <w:b/>
          <w:bCs/>
          <w:i/>
          <w:iCs/>
          <w:sz w:val="20"/>
        </w:rPr>
        <w:t>6</w:t>
      </w:r>
      <w:r>
        <w:rPr>
          <w:rFonts w:ascii="Times New Roman" w:eastAsia="Calibri" w:hAnsi="Times New Roman" w:cs="Times New Roman" w:hint="eastAsia"/>
          <w:b/>
          <w:bCs/>
          <w:i/>
          <w:iCs/>
          <w:sz w:val="20"/>
        </w:rPr>
        <w:t xml:space="preserve">: </w:t>
      </w:r>
      <w:r w:rsidRPr="00E013B1">
        <w:rPr>
          <w:rFonts w:ascii="Times New Roman" w:eastAsia="宋体" w:hAnsi="Times New Roman" w:cs="Times New Roman"/>
          <w:bCs/>
          <w:i/>
          <w:iCs/>
          <w:sz w:val="20"/>
        </w:rPr>
        <w:t>NPRACH transmissions are postponed in non-U NB-IoT subframes until the next U NB-IoT subframe(s)</w:t>
      </w:r>
      <w:r>
        <w:rPr>
          <w:rFonts w:ascii="Times New Roman" w:eastAsia="宋体" w:hAnsi="Times New Roman" w:cs="Times New Roman"/>
          <w:bCs/>
          <w:i/>
          <w:iCs/>
          <w:sz w:val="20"/>
        </w:rPr>
        <w:t xml:space="preserve"> and the unit of postponement should be preamble repetition unit.</w:t>
      </w:r>
    </w:p>
    <w:p w14:paraId="421C906B" w14:textId="3B7BC6C8" w:rsidR="0068418D" w:rsidRDefault="0068418D" w:rsidP="0068418D">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sidR="00157B59">
        <w:rPr>
          <w:rFonts w:ascii="Times New Roman" w:eastAsia="Calibri" w:hAnsi="Times New Roman" w:cs="Times New Roman"/>
          <w:b/>
          <w:bCs/>
          <w:i/>
          <w:iCs/>
          <w:sz w:val="20"/>
        </w:rPr>
        <w:t>7</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Introduction of new NPRACH periodicities is not necessary after adopting the option to postpone NPRACH transmission in non-U NB-IoT subframes to next U NB-IoT subframes.</w:t>
      </w:r>
    </w:p>
    <w:p w14:paraId="34F5F042" w14:textId="0F42CB2B" w:rsidR="0068418D" w:rsidRDefault="0068418D" w:rsidP="0068418D">
      <w:pPr>
        <w:pStyle w:val="2"/>
        <w:numPr>
          <w:ilvl w:val="1"/>
          <w:numId w:val="3"/>
        </w:numPr>
        <w:spacing w:before="0" w:after="0"/>
        <w:rPr>
          <w:rFonts w:cs="Times New Roman"/>
          <w:bCs/>
          <w:sz w:val="20"/>
          <w:szCs w:val="20"/>
        </w:rPr>
      </w:pPr>
      <w:r>
        <w:rPr>
          <w:rFonts w:ascii="Times New Roman" w:hAnsi="Times New Roman" w:cs="Times New Roman" w:hint="eastAsia"/>
          <w:sz w:val="20"/>
          <w:szCs w:val="20"/>
        </w:rPr>
        <w:t>S</w:t>
      </w:r>
      <w:r w:rsidRPr="0068418D">
        <w:rPr>
          <w:rFonts w:ascii="Times New Roman" w:hAnsi="Times New Roman" w:cs="Times New Roman"/>
          <w:sz w:val="20"/>
          <w:szCs w:val="20"/>
        </w:rPr>
        <w:t>egmented pre-compensation</w:t>
      </w:r>
    </w:p>
    <w:p w14:paraId="2CCFA4E7" w14:textId="4E78A857" w:rsidR="0068418D" w:rsidRDefault="00C7205E" w:rsidP="0068418D">
      <w:pPr>
        <w:jc w:val="both"/>
        <w:rPr>
          <w:rFonts w:ascii="Times" w:eastAsia="宋体" w:hAnsi="Times" w:cs="Times New Roman"/>
          <w:bCs/>
          <w:sz w:val="20"/>
          <w:szCs w:val="20"/>
          <w:lang w:val="en-GB"/>
        </w:rPr>
      </w:pPr>
      <w:r>
        <w:rPr>
          <w:rFonts w:ascii="Times New Roman" w:eastAsia="宋体" w:hAnsi="Times New Roman" w:cs="Times New Roman"/>
          <w:sz w:val="20"/>
        </w:rPr>
        <w:t>For segmented pre-compensation, following options</w:t>
      </w:r>
      <w:r w:rsidR="003866AF">
        <w:rPr>
          <w:rFonts w:ascii="Times" w:eastAsia="宋体" w:hAnsi="Times" w:cs="Times New Roman"/>
          <w:bCs/>
          <w:sz w:val="20"/>
          <w:szCs w:val="20"/>
          <w:lang w:val="en-GB"/>
        </w:rPr>
        <w:t xml:space="preserve"> </w:t>
      </w:r>
      <w:r w:rsidR="003866AF">
        <w:rPr>
          <w:rFonts w:ascii="Times" w:eastAsia="宋体" w:hAnsi="Times" w:cs="Times New Roman" w:hint="eastAsia"/>
          <w:bCs/>
          <w:sz w:val="20"/>
          <w:szCs w:val="20"/>
          <w:lang w:val="en-GB"/>
        </w:rPr>
        <w:t>are</w:t>
      </w:r>
      <w:r w:rsidR="003866AF">
        <w:rPr>
          <w:rFonts w:ascii="Times" w:eastAsia="宋体" w:hAnsi="Times" w:cs="Times New Roman"/>
          <w:bCs/>
          <w:sz w:val="20"/>
          <w:szCs w:val="20"/>
          <w:lang w:val="en-GB"/>
        </w:rPr>
        <w:t xml:space="preserve"> agreed for further consideration in RAN1#120:</w:t>
      </w:r>
    </w:p>
    <w:p w14:paraId="219305BC" w14:textId="77777777" w:rsidR="003866AF" w:rsidRPr="00DC5BFF" w:rsidRDefault="003866AF" w:rsidP="003866AF">
      <w:pPr>
        <w:numPr>
          <w:ilvl w:val="0"/>
          <w:numId w:val="19"/>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Option 1: Dropped/postponed NPUSCH / NPRACH are counted for segment determination</w:t>
      </w:r>
    </w:p>
    <w:p w14:paraId="204FCB26" w14:textId="77777777" w:rsidR="003866AF" w:rsidRPr="00DC5BFF" w:rsidRDefault="003866AF" w:rsidP="003866AF">
      <w:pPr>
        <w:numPr>
          <w:ilvl w:val="0"/>
          <w:numId w:val="19"/>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Option 2: A new pre-compensation segment is started at the beginning of each uplink burst</w:t>
      </w:r>
    </w:p>
    <w:p w14:paraId="30314015" w14:textId="77777777" w:rsidR="003866AF" w:rsidRPr="00DC5BFF" w:rsidRDefault="003866AF" w:rsidP="003866AF">
      <w:pPr>
        <w:numPr>
          <w:ilvl w:val="0"/>
          <w:numId w:val="19"/>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 xml:space="preserve">Option 3: </w:t>
      </w:r>
      <w:r w:rsidRPr="00DC5BFF">
        <w:rPr>
          <w:rFonts w:ascii="Times" w:eastAsia="Batang" w:hAnsi="Times" w:cs="Times New Roman" w:hint="eastAsia"/>
          <w:bCs/>
          <w:sz w:val="20"/>
          <w:szCs w:val="20"/>
          <w:lang w:val="en-GB"/>
        </w:rPr>
        <w:t>UL segment should only be defined in consecutive U subframes</w:t>
      </w:r>
    </w:p>
    <w:p w14:paraId="6C741FD9" w14:textId="77777777" w:rsidR="003866AF" w:rsidRPr="00DC5BFF" w:rsidRDefault="003866AF" w:rsidP="003866AF">
      <w:pPr>
        <w:numPr>
          <w:ilvl w:val="0"/>
          <w:numId w:val="19"/>
        </w:numPr>
        <w:overflowPunct w:val="0"/>
        <w:autoSpaceDE w:val="0"/>
        <w:autoSpaceDN w:val="0"/>
        <w:adjustRightInd w:val="0"/>
        <w:spacing w:after="0" w:line="240" w:lineRule="auto"/>
        <w:contextualSpacing/>
        <w:textAlignment w:val="baseline"/>
        <w:rPr>
          <w:rFonts w:ascii="Times" w:eastAsia="Batang" w:hAnsi="Times" w:cs="Times New Roman"/>
          <w:bCs/>
          <w:sz w:val="20"/>
          <w:szCs w:val="20"/>
          <w:lang w:val="en-GB"/>
        </w:rPr>
      </w:pPr>
      <w:r w:rsidRPr="00DC5BFF">
        <w:rPr>
          <w:rFonts w:ascii="Times" w:eastAsia="Batang" w:hAnsi="Times" w:cs="Times New Roman"/>
          <w:bCs/>
          <w:sz w:val="20"/>
          <w:szCs w:val="20"/>
          <w:lang w:val="en-GB"/>
        </w:rPr>
        <w:t>Option 4: Segmented pre-compensation does not apply for NB-IoT NTN TDD.</w:t>
      </w:r>
    </w:p>
    <w:p w14:paraId="24069AFD" w14:textId="77777777" w:rsidR="00D35FA7" w:rsidRDefault="003866AF" w:rsidP="0068418D">
      <w:pPr>
        <w:jc w:val="both"/>
        <w:rPr>
          <w:rFonts w:ascii="Times New Roman" w:eastAsia="宋体" w:hAnsi="Times New Roman" w:cs="Times New Roman"/>
          <w:sz w:val="20"/>
        </w:rPr>
      </w:pPr>
      <w:r>
        <w:rPr>
          <w:rFonts w:ascii="Times New Roman" w:eastAsia="宋体" w:hAnsi="Times New Roman" w:cs="Times New Roman"/>
          <w:sz w:val="20"/>
        </w:rPr>
        <w:lastRenderedPageBreak/>
        <w:t>In IoT-NTN, segmented pre-compensation is introduced to allow TA update during UL transmission</w:t>
      </w:r>
      <w:r w:rsidR="00D35FA7">
        <w:rPr>
          <w:rFonts w:ascii="Times New Roman" w:eastAsia="宋体" w:hAnsi="Times New Roman" w:cs="Times New Roman"/>
          <w:sz w:val="20"/>
        </w:rPr>
        <w:t xml:space="preserve"> as shown below</w:t>
      </w:r>
      <w:r>
        <w:rPr>
          <w:rFonts w:ascii="Times New Roman" w:eastAsia="宋体" w:hAnsi="Times New Roman" w:cs="Times New Roman"/>
          <w:sz w:val="20"/>
        </w:rPr>
        <w:t xml:space="preserve">. </w:t>
      </w:r>
    </w:p>
    <w:tbl>
      <w:tblPr>
        <w:tblStyle w:val="af2"/>
        <w:tblW w:w="0" w:type="auto"/>
        <w:tblLook w:val="04A0" w:firstRow="1" w:lastRow="0" w:firstColumn="1" w:lastColumn="0" w:noHBand="0" w:noVBand="1"/>
      </w:tblPr>
      <w:tblGrid>
        <w:gridCol w:w="9350"/>
      </w:tblGrid>
      <w:tr w:rsidR="00D35FA7" w14:paraId="3D32A163" w14:textId="77777777" w:rsidTr="00D35FA7">
        <w:tc>
          <w:tcPr>
            <w:tcW w:w="9350" w:type="dxa"/>
          </w:tcPr>
          <w:p w14:paraId="508EADED" w14:textId="536BFA0E" w:rsidR="00D35FA7" w:rsidRPr="00D35FA7" w:rsidRDefault="00D35FA7" w:rsidP="00D35FA7">
            <w:pPr>
              <w:jc w:val="both"/>
              <w:rPr>
                <w:rFonts w:ascii="Times New Roman" w:eastAsia="宋体" w:hAnsi="Times New Roman" w:cs="Times New Roman"/>
                <w:b/>
                <w:sz w:val="20"/>
                <w:szCs w:val="20"/>
              </w:rPr>
            </w:pPr>
            <w:r w:rsidRPr="00D35FA7">
              <w:rPr>
                <w:rFonts w:ascii="Times New Roman" w:eastAsia="宋体" w:hAnsi="Times New Roman" w:cs="Times New Roman" w:hint="eastAsia"/>
                <w:b/>
                <w:sz w:val="20"/>
                <w:szCs w:val="20"/>
              </w:rPr>
              <w:t>T</w:t>
            </w:r>
            <w:r w:rsidRPr="00D35FA7">
              <w:rPr>
                <w:rFonts w:ascii="Times New Roman" w:eastAsia="宋体" w:hAnsi="Times New Roman" w:cs="Times New Roman"/>
                <w:b/>
                <w:sz w:val="20"/>
                <w:szCs w:val="20"/>
              </w:rPr>
              <w:t>S 36.213</w:t>
            </w:r>
          </w:p>
          <w:p w14:paraId="1B80F48E" w14:textId="2ED7D271" w:rsidR="00D35FA7" w:rsidRPr="00D35FA7" w:rsidRDefault="00D35FA7" w:rsidP="00D35FA7">
            <w:pPr>
              <w:overflowPunct w:val="0"/>
              <w:autoSpaceDE w:val="0"/>
              <w:autoSpaceDN w:val="0"/>
              <w:adjustRightInd w:val="0"/>
              <w:spacing w:before="100" w:beforeAutospacing="1" w:after="180" w:line="240" w:lineRule="auto"/>
              <w:textAlignment w:val="baseline"/>
              <w:rPr>
                <w:rFonts w:ascii="Times New Roman" w:hAnsi="Times New Roman" w:cs="Times New Roman"/>
                <w:bCs/>
                <w:sz w:val="20"/>
                <w:szCs w:val="20"/>
              </w:rPr>
            </w:pPr>
            <w:r w:rsidRPr="00D35FA7">
              <w:rPr>
                <w:rFonts w:ascii="Times New Roman" w:eastAsia="宋体" w:hAnsi="Times New Roman" w:cs="Times New Roman"/>
                <w:bCs/>
                <w:sz w:val="20"/>
                <w:szCs w:val="20"/>
              </w:rPr>
              <w:t xml:space="preserve">For a NB-IoT UE communicating over NTN, time and frequency pre-compensation is adjusted per uplink </w:t>
            </w:r>
            <w:r w:rsidRPr="00D35FA7">
              <w:rPr>
                <w:rFonts w:ascii="Times New Roman" w:eastAsia="宋体" w:hAnsi="Times New Roman" w:cs="Times New Roman"/>
                <w:sz w:val="20"/>
                <w:szCs w:val="20"/>
              </w:rPr>
              <w:t xml:space="preserve">segment with a transmission duration of </w:t>
            </w:r>
            <w:r w:rsidRPr="00D35FA7">
              <w:rPr>
                <w:rFonts w:ascii="Times New Roman" w:eastAsia="宋体" w:hAnsi="Times New Roman" w:cs="Times New Roman"/>
                <w:noProof/>
                <w:sz w:val="20"/>
                <w:szCs w:val="20"/>
              </w:rPr>
              <w:drawing>
                <wp:inline distT="0" distB="0" distL="0" distR="0" wp14:anchorId="34E70CF0" wp14:editId="1EE8138E">
                  <wp:extent cx="763905" cy="191135"/>
                  <wp:effectExtent l="0" t="0" r="0" b="0"/>
                  <wp:docPr id="8" name="图片 8" descr="C:\Users\102636~1.A25\AppData\Local\Temp\ksohtml60484\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2636~1.A25\AppData\Local\Temp\ksohtml60484\wps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3905" cy="191135"/>
                          </a:xfrm>
                          <a:prstGeom prst="rect">
                            <a:avLst/>
                          </a:prstGeom>
                          <a:noFill/>
                          <a:ln>
                            <a:noFill/>
                          </a:ln>
                        </pic:spPr>
                      </pic:pic>
                    </a:graphicData>
                  </a:graphic>
                </wp:inline>
              </w:drawing>
            </w:r>
            <w:r w:rsidRPr="00D35FA7">
              <w:rPr>
                <w:rFonts w:ascii="Times New Roman" w:eastAsia="宋体" w:hAnsi="Times New Roman" w:cs="Times New Roman"/>
                <w:sz w:val="20"/>
                <w:szCs w:val="20"/>
              </w:rPr>
              <w:t xml:space="preserve"> time units, </w:t>
            </w:r>
            <w:r w:rsidRPr="00D35FA7">
              <w:rPr>
                <w:rFonts w:ascii="Times New Roman" w:eastAsia="宋体" w:hAnsi="Times New Roman" w:cs="Times New Roman"/>
                <w:bCs/>
                <w:sz w:val="20"/>
                <w:szCs w:val="20"/>
              </w:rPr>
              <w:t xml:space="preserve">where the quantity </w:t>
            </w:r>
            <w:r w:rsidRPr="00D35FA7">
              <w:rPr>
                <w:rFonts w:ascii="Times New Roman" w:eastAsia="宋体" w:hAnsi="Times New Roman" w:cs="Times New Roman"/>
                <w:noProof/>
                <w:sz w:val="20"/>
                <w:szCs w:val="20"/>
              </w:rPr>
              <w:drawing>
                <wp:inline distT="0" distB="0" distL="0" distR="0" wp14:anchorId="4842E32F" wp14:editId="49126F8B">
                  <wp:extent cx="763905" cy="191135"/>
                  <wp:effectExtent l="0" t="0" r="0" b="0"/>
                  <wp:docPr id="4" name="图片 4" descr="C:\Users\102636~1.A25\AppData\Local\Temp\ksohtml60484\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2636~1.A25\AppData\Local\Temp\ksohtml60484\wps6.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3905" cy="191135"/>
                          </a:xfrm>
                          <a:prstGeom prst="rect">
                            <a:avLst/>
                          </a:prstGeom>
                          <a:noFill/>
                          <a:ln>
                            <a:noFill/>
                          </a:ln>
                        </pic:spPr>
                      </pic:pic>
                    </a:graphicData>
                  </a:graphic>
                </wp:inline>
              </w:drawing>
            </w:r>
            <w:r w:rsidRPr="00D35FA7">
              <w:rPr>
                <w:rFonts w:ascii="Times New Roman" w:eastAsia="宋体" w:hAnsi="Times New Roman" w:cs="Times New Roman"/>
                <w:bCs/>
                <w:sz w:val="20"/>
                <w:szCs w:val="20"/>
              </w:rPr>
              <w:t xml:space="preserve"> is provided by higher layers, as specified in 3GPP TS 36.331 [11].</w:t>
            </w:r>
          </w:p>
        </w:tc>
      </w:tr>
    </w:tbl>
    <w:p w14:paraId="05DEFAA9" w14:textId="28B11630" w:rsidR="003866AF" w:rsidRDefault="003866AF" w:rsidP="0068418D">
      <w:pPr>
        <w:jc w:val="both"/>
        <w:rPr>
          <w:rFonts w:ascii="Times New Roman" w:eastAsia="宋体" w:hAnsi="Times New Roman" w:cs="Times New Roman"/>
          <w:sz w:val="20"/>
        </w:rPr>
      </w:pPr>
      <w:r>
        <w:rPr>
          <w:rFonts w:ascii="Times New Roman" w:eastAsia="宋体" w:hAnsi="Times New Roman" w:cs="Times New Roman"/>
          <w:sz w:val="20"/>
        </w:rPr>
        <w:t xml:space="preserve">Unless UL transmission can be ensured finished within U=8 subframes, the duration to finish a UL transmission can be longer than 90ms. </w:t>
      </w:r>
      <w:r w:rsidR="00D35FA7">
        <w:rPr>
          <w:rFonts w:ascii="Times New Roman" w:eastAsia="宋体" w:hAnsi="Times New Roman" w:cs="Times New Roman"/>
          <w:sz w:val="20"/>
        </w:rPr>
        <w:t>T</w:t>
      </w:r>
      <w:r>
        <w:rPr>
          <w:rFonts w:ascii="Times New Roman" w:eastAsia="宋体" w:hAnsi="Times New Roman" w:cs="Times New Roman"/>
          <w:sz w:val="20"/>
        </w:rPr>
        <w:t xml:space="preserve">he timing </w:t>
      </w:r>
      <w:r w:rsidR="00D35FA7">
        <w:rPr>
          <w:rFonts w:ascii="Times New Roman" w:eastAsia="宋体" w:hAnsi="Times New Roman" w:cs="Times New Roman"/>
          <w:sz w:val="20"/>
        </w:rPr>
        <w:t>error caused by timing drift in NTN</w:t>
      </w:r>
      <w:r>
        <w:rPr>
          <w:rFonts w:ascii="Times New Roman" w:eastAsia="宋体" w:hAnsi="Times New Roman" w:cs="Times New Roman"/>
          <w:sz w:val="20"/>
        </w:rPr>
        <w:t xml:space="preserve"> may be larger than the timing error requirement T</w:t>
      </w:r>
      <w:r w:rsidRPr="003866AF">
        <w:rPr>
          <w:rFonts w:ascii="Times New Roman" w:eastAsia="宋体" w:hAnsi="Times New Roman" w:cs="Times New Roman"/>
          <w:sz w:val="20"/>
          <w:vertAlign w:val="subscript"/>
        </w:rPr>
        <w:t>e</w:t>
      </w:r>
      <w:r>
        <w:rPr>
          <w:rFonts w:ascii="Times New Roman" w:eastAsia="宋体" w:hAnsi="Times New Roman" w:cs="Times New Roman"/>
          <w:sz w:val="20"/>
          <w:vertAlign w:val="subscript"/>
        </w:rPr>
        <w:t>_NTN</w:t>
      </w:r>
      <w:r>
        <w:rPr>
          <w:rFonts w:ascii="Times New Roman" w:eastAsia="宋体" w:hAnsi="Times New Roman" w:cs="Times New Roman"/>
          <w:sz w:val="20"/>
        </w:rPr>
        <w:t xml:space="preserve"> if </w:t>
      </w:r>
      <w:r w:rsidR="00D35FA7">
        <w:rPr>
          <w:rFonts w:ascii="Times New Roman" w:eastAsia="宋体" w:hAnsi="Times New Roman" w:cs="Times New Roman"/>
          <w:sz w:val="20"/>
        </w:rPr>
        <w:t>TA cannot be updated during such long duration</w:t>
      </w:r>
      <w:r>
        <w:rPr>
          <w:rFonts w:ascii="Times New Roman" w:eastAsia="宋体" w:hAnsi="Times New Roman" w:cs="Times New Roman"/>
          <w:sz w:val="20"/>
        </w:rPr>
        <w:t>. Hence, option 4 can be excluded.</w:t>
      </w:r>
    </w:p>
    <w:p w14:paraId="5DFFCB0F" w14:textId="04D36648" w:rsidR="00F66C56" w:rsidRDefault="00D35FA7" w:rsidP="0068418D">
      <w:pPr>
        <w:jc w:val="both"/>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oreover,</w:t>
      </w:r>
      <w:r w:rsidR="00EE0FFF">
        <w:rPr>
          <w:rFonts w:ascii="Times New Roman" w:eastAsia="宋体" w:hAnsi="Times New Roman" w:cs="Times New Roman"/>
          <w:sz w:val="20"/>
        </w:rPr>
        <w:t xml:space="preserve"> based on current specification, the postponement</w:t>
      </w:r>
      <w:r w:rsidR="003564BC">
        <w:rPr>
          <w:rFonts w:ascii="Times New Roman" w:eastAsia="宋体" w:hAnsi="Times New Roman" w:cs="Times New Roman"/>
          <w:sz w:val="20"/>
        </w:rPr>
        <w:t xml:space="preserve"> (e.g., postponement due to NPRACH) is expected to be counted for segment length</w:t>
      </w:r>
      <w:r w:rsidR="001C56C8">
        <w:rPr>
          <w:rFonts w:ascii="Times New Roman" w:eastAsia="宋体" w:hAnsi="Times New Roman" w:cs="Times New Roman"/>
          <w:sz w:val="20"/>
        </w:rPr>
        <w:t xml:space="preserve"> as shown below</w:t>
      </w:r>
      <w:r w:rsidR="003564BC">
        <w:rPr>
          <w:rFonts w:ascii="Times New Roman" w:eastAsia="宋体" w:hAnsi="Times New Roman" w:cs="Times New Roman"/>
          <w:sz w:val="20"/>
        </w:rPr>
        <w:t xml:space="preserve">. </w:t>
      </w:r>
    </w:p>
    <w:tbl>
      <w:tblPr>
        <w:tblStyle w:val="af2"/>
        <w:tblW w:w="0" w:type="auto"/>
        <w:tblLook w:val="04A0" w:firstRow="1" w:lastRow="0" w:firstColumn="1" w:lastColumn="0" w:noHBand="0" w:noVBand="1"/>
      </w:tblPr>
      <w:tblGrid>
        <w:gridCol w:w="9350"/>
      </w:tblGrid>
      <w:tr w:rsidR="00F66C56" w14:paraId="670EA8A6" w14:textId="77777777" w:rsidTr="00F66C56">
        <w:tc>
          <w:tcPr>
            <w:tcW w:w="9350" w:type="dxa"/>
          </w:tcPr>
          <w:p w14:paraId="3868DCBE" w14:textId="0025385A" w:rsidR="00F66C56" w:rsidRDefault="00F66C56" w:rsidP="00F66C56">
            <w:pPr>
              <w:jc w:val="both"/>
              <w:rPr>
                <w:rFonts w:ascii="Times New Roman" w:eastAsia="宋体" w:hAnsi="Times New Roman" w:cs="Times New Roman"/>
                <w:b/>
                <w:sz w:val="20"/>
                <w:szCs w:val="20"/>
              </w:rPr>
            </w:pPr>
            <w:r w:rsidRPr="00D35FA7">
              <w:rPr>
                <w:rFonts w:ascii="Times New Roman" w:eastAsia="宋体" w:hAnsi="Times New Roman" w:cs="Times New Roman" w:hint="eastAsia"/>
                <w:b/>
                <w:sz w:val="20"/>
                <w:szCs w:val="20"/>
              </w:rPr>
              <w:t>T</w:t>
            </w:r>
            <w:r w:rsidRPr="00D35FA7">
              <w:rPr>
                <w:rFonts w:ascii="Times New Roman" w:eastAsia="宋体" w:hAnsi="Times New Roman" w:cs="Times New Roman"/>
                <w:b/>
                <w:sz w:val="20"/>
                <w:szCs w:val="20"/>
              </w:rPr>
              <w:t>S 36.211</w:t>
            </w:r>
          </w:p>
          <w:p w14:paraId="2EEF8241" w14:textId="20A7BE3D" w:rsidR="00F66C56" w:rsidRPr="00F66C56" w:rsidRDefault="00C97072" w:rsidP="00F66C56">
            <w:pPr>
              <w:jc w:val="both"/>
              <w:rPr>
                <w:rFonts w:ascii="Times New Roman" w:eastAsia="宋体" w:hAnsi="Times New Roman" w:cs="Times New Roman"/>
                <w:b/>
                <w:sz w:val="20"/>
                <w:szCs w:val="20"/>
              </w:rPr>
            </w:pPr>
            <w:r>
              <w:rPr>
                <w:rFonts w:ascii="Times New Roman" w:eastAsia="宋体" w:hAnsi="Times New Roman" w:cs="Times New Roman"/>
                <w:b/>
                <w:sz w:val="20"/>
                <w:szCs w:val="24"/>
              </w:rPr>
              <w:t xml:space="preserve">clause </w:t>
            </w:r>
            <w:r w:rsidR="00C7274E" w:rsidRPr="00C7274E">
              <w:rPr>
                <w:rFonts w:ascii="Times New Roman" w:eastAsia="宋体" w:hAnsi="Times New Roman" w:cs="Times New Roman"/>
                <w:b/>
                <w:sz w:val="20"/>
                <w:szCs w:val="20"/>
              </w:rPr>
              <w:t xml:space="preserve">10.1.3.6 </w:t>
            </w:r>
            <w:r w:rsidR="00C7274E">
              <w:rPr>
                <w:rFonts w:ascii="Times New Roman" w:eastAsia="宋体" w:hAnsi="Times New Roman" w:cs="Times New Roman"/>
                <w:b/>
                <w:sz w:val="20"/>
                <w:szCs w:val="20"/>
              </w:rPr>
              <w:t>(</w:t>
            </w:r>
            <w:r w:rsidR="00C7274E">
              <w:rPr>
                <w:rFonts w:ascii="Times New Roman" w:eastAsia="宋体" w:hAnsi="Times New Roman" w:cs="Times New Roman" w:hint="eastAsia"/>
                <w:b/>
                <w:sz w:val="20"/>
                <w:szCs w:val="20"/>
              </w:rPr>
              <w:t>N</w:t>
            </w:r>
            <w:r w:rsidR="00C7274E">
              <w:rPr>
                <w:rFonts w:ascii="Times New Roman" w:eastAsia="宋体" w:hAnsi="Times New Roman" w:cs="Times New Roman"/>
                <w:b/>
                <w:sz w:val="20"/>
                <w:szCs w:val="20"/>
              </w:rPr>
              <w:t>B-IoT over NTN)</w:t>
            </w:r>
          </w:p>
          <w:p w14:paraId="29E94934" w14:textId="77777777" w:rsidR="00F66C56" w:rsidRPr="00D35FA7" w:rsidRDefault="00F66C56" w:rsidP="00F66C56">
            <w:pPr>
              <w:spacing w:before="100" w:beforeAutospacing="1" w:after="180" w:line="240" w:lineRule="auto"/>
              <w:rPr>
                <w:rFonts w:ascii="Times New Roman" w:eastAsia="宋体" w:hAnsi="Times New Roman" w:cs="Times New Roman"/>
                <w:sz w:val="20"/>
                <w:szCs w:val="20"/>
              </w:rPr>
            </w:pPr>
            <w:r w:rsidRPr="00D35FA7">
              <w:rPr>
                <w:rFonts w:ascii="Times New Roman" w:eastAsia="宋体" w:hAnsi="Times New Roman" w:cs="Times New Roman"/>
                <w:sz w:val="20"/>
                <w:szCs w:val="20"/>
              </w:rPr>
              <w:t xml:space="preserve">For a UE communicating over NTN, after transmissions </w:t>
            </w:r>
            <w:r w:rsidRPr="00D35FA7">
              <w:rPr>
                <w:rFonts w:ascii="Times New Roman" w:eastAsia="宋体" w:hAnsi="Times New Roman" w:cs="Times New Roman"/>
                <w:sz w:val="20"/>
                <w:szCs w:val="20"/>
                <w:highlight w:val="yellow"/>
              </w:rPr>
              <w:t>(and/or postponements due to NPRACH)</w:t>
            </w:r>
            <w:r w:rsidRPr="00D35FA7">
              <w:rPr>
                <w:rFonts w:ascii="Times New Roman" w:eastAsia="宋体" w:hAnsi="Times New Roman" w:cs="Times New Roman"/>
                <w:sz w:val="20"/>
                <w:szCs w:val="20"/>
              </w:rPr>
              <w:t xml:space="preserve"> of </w:t>
            </w:r>
            <w:r w:rsidRPr="00D35FA7">
              <w:rPr>
                <w:rFonts w:ascii="Times New Roman" w:eastAsia="宋体" w:hAnsi="Times New Roman" w:cs="Times New Roman"/>
                <w:noProof/>
                <w:sz w:val="20"/>
                <w:szCs w:val="20"/>
              </w:rPr>
              <w:drawing>
                <wp:inline distT="0" distB="0" distL="0" distR="0" wp14:anchorId="75AA241B" wp14:editId="1B38264F">
                  <wp:extent cx="763905" cy="191135"/>
                  <wp:effectExtent l="0" t="0" r="0" b="0"/>
                  <wp:docPr id="9" name="图片 9" descr="C:\Users\102636~1.A25\AppData\Local\Temp\ksohtml6048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02636~1.A25\AppData\Local\Temp\ksohtml60484\wps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3905" cy="191135"/>
                          </a:xfrm>
                          <a:prstGeom prst="rect">
                            <a:avLst/>
                          </a:prstGeom>
                          <a:noFill/>
                          <a:ln>
                            <a:noFill/>
                          </a:ln>
                        </pic:spPr>
                      </pic:pic>
                    </a:graphicData>
                  </a:graphic>
                </wp:inline>
              </w:drawing>
            </w:r>
            <w:r w:rsidRPr="00D35FA7">
              <w:rPr>
                <w:rFonts w:ascii="Times New Roman" w:eastAsia="宋体" w:hAnsi="Times New Roman" w:cs="Times New Roman"/>
                <w:sz w:val="20"/>
                <w:szCs w:val="20"/>
              </w:rPr>
              <w:t xml:space="preserve"> time units, for frame structure type 1, a transmission gap of </w:t>
            </w:r>
            <w:r w:rsidRPr="00D35FA7">
              <w:rPr>
                <w:rFonts w:ascii="Times New Roman" w:eastAsia="宋体" w:hAnsi="Times New Roman" w:cs="Times New Roman"/>
                <w:noProof/>
                <w:sz w:val="20"/>
                <w:szCs w:val="20"/>
              </w:rPr>
              <w:drawing>
                <wp:inline distT="0" distB="0" distL="0" distR="0" wp14:anchorId="542259F9" wp14:editId="44E284EA">
                  <wp:extent cx="763905" cy="191135"/>
                  <wp:effectExtent l="0" t="0" r="0" b="0"/>
                  <wp:docPr id="10" name="图片 10" descr="C:\Users\102636~1.A25\AppData\Local\Temp\ksohtml6048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02636~1.A25\AppData\Local\Temp\ksohtml60484\wps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3905" cy="191135"/>
                          </a:xfrm>
                          <a:prstGeom prst="rect">
                            <a:avLst/>
                          </a:prstGeom>
                          <a:noFill/>
                          <a:ln>
                            <a:noFill/>
                          </a:ln>
                        </pic:spPr>
                      </pic:pic>
                    </a:graphicData>
                  </a:graphic>
                </wp:inline>
              </w:drawing>
            </w:r>
            <w:r w:rsidRPr="00D35FA7">
              <w:rPr>
                <w:rFonts w:ascii="Times New Roman" w:eastAsia="宋体" w:hAnsi="Times New Roman" w:cs="Times New Roman"/>
                <w:sz w:val="20"/>
                <w:szCs w:val="20"/>
              </w:rPr>
              <w:t xml:space="preserve"> time units shall be counted for the NPUSCH resource mapping but not used for transmission of the NPUSCH according to the UE capability </w:t>
            </w:r>
            <w:r w:rsidRPr="00D35FA7">
              <w:rPr>
                <w:rFonts w:ascii="Times New Roman" w:eastAsia="宋体" w:hAnsi="Times New Roman" w:cs="Times New Roman"/>
                <w:i/>
                <w:iCs/>
                <w:sz w:val="20"/>
                <w:szCs w:val="20"/>
              </w:rPr>
              <w:t>ntn-SegmentedPrecompensationGaps-r17</w:t>
            </w:r>
            <w:r w:rsidRPr="00D35FA7">
              <w:rPr>
                <w:rFonts w:ascii="Times New Roman" w:eastAsia="宋体" w:hAnsi="Times New Roman" w:cs="Times New Roman"/>
                <w:sz w:val="20"/>
                <w:szCs w:val="20"/>
              </w:rPr>
              <w:t xml:space="preserve"> as specified in 3GPP TS 36.331 [9]. The quantity </w:t>
            </w:r>
            <w:r w:rsidRPr="00D35FA7">
              <w:rPr>
                <w:rFonts w:ascii="Times New Roman" w:eastAsia="宋体" w:hAnsi="Times New Roman" w:cs="Times New Roman"/>
                <w:noProof/>
                <w:sz w:val="20"/>
                <w:szCs w:val="20"/>
              </w:rPr>
              <w:drawing>
                <wp:inline distT="0" distB="0" distL="0" distR="0" wp14:anchorId="4111EE95" wp14:editId="67FAA158">
                  <wp:extent cx="763905" cy="191135"/>
                  <wp:effectExtent l="0" t="0" r="0" b="0"/>
                  <wp:docPr id="11" name="图片 11" descr="C:\Users\102636~1.A25\AppData\Local\Temp\ksohtml6048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102636~1.A25\AppData\Local\Temp\ksohtml60484\wps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3905" cy="191135"/>
                          </a:xfrm>
                          <a:prstGeom prst="rect">
                            <a:avLst/>
                          </a:prstGeom>
                          <a:noFill/>
                          <a:ln>
                            <a:noFill/>
                          </a:ln>
                        </pic:spPr>
                      </pic:pic>
                    </a:graphicData>
                  </a:graphic>
                </wp:inline>
              </w:drawing>
            </w:r>
            <w:r w:rsidRPr="00D35FA7">
              <w:rPr>
                <w:rFonts w:ascii="Times New Roman" w:eastAsia="宋体" w:hAnsi="Times New Roman" w:cs="Times New Roman"/>
                <w:sz w:val="20"/>
                <w:szCs w:val="20"/>
              </w:rPr>
              <w:t xml:space="preserve"> is provided by higher layers, and the quantity of </w:t>
            </w:r>
            <w:r w:rsidRPr="00D35FA7">
              <w:rPr>
                <w:rFonts w:ascii="Times New Roman" w:eastAsia="宋体" w:hAnsi="Times New Roman" w:cs="Times New Roman"/>
                <w:noProof/>
                <w:sz w:val="20"/>
                <w:szCs w:val="20"/>
              </w:rPr>
              <w:drawing>
                <wp:inline distT="0" distB="0" distL="0" distR="0" wp14:anchorId="150C974C" wp14:editId="1F14E86C">
                  <wp:extent cx="763905" cy="191135"/>
                  <wp:effectExtent l="0" t="0" r="0" b="0"/>
                  <wp:docPr id="12" name="图片 12" descr="C:\Users\102636~1.A25\AppData\Local\Temp\ksohtml60484\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02636~1.A25\AppData\Local\Temp\ksohtml60484\wps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3905" cy="191135"/>
                          </a:xfrm>
                          <a:prstGeom prst="rect">
                            <a:avLst/>
                          </a:prstGeom>
                          <a:noFill/>
                          <a:ln>
                            <a:noFill/>
                          </a:ln>
                        </pic:spPr>
                      </pic:pic>
                    </a:graphicData>
                  </a:graphic>
                </wp:inline>
              </w:drawing>
            </w:r>
            <w:r w:rsidRPr="00D35FA7">
              <w:rPr>
                <w:rFonts w:ascii="Times New Roman" w:eastAsia="宋体" w:hAnsi="Times New Roman" w:cs="Times New Roman"/>
                <w:sz w:val="20"/>
                <w:szCs w:val="20"/>
              </w:rPr>
              <w:t xml:space="preserve"> is configured by higher layers based on the UE capability if signalled.</w:t>
            </w:r>
          </w:p>
          <w:p w14:paraId="6D468017" w14:textId="5E39E175" w:rsidR="00C7274E" w:rsidRPr="00C7274E" w:rsidRDefault="00C97072" w:rsidP="00C7274E">
            <w:pPr>
              <w:spacing w:before="100" w:beforeAutospacing="1" w:after="180" w:line="240" w:lineRule="auto"/>
              <w:rPr>
                <w:rFonts w:ascii="Times New Roman" w:eastAsia="宋体" w:hAnsi="Times New Roman" w:cs="Times New Roman"/>
                <w:b/>
                <w:sz w:val="20"/>
                <w:szCs w:val="20"/>
              </w:rPr>
            </w:pPr>
            <w:r>
              <w:rPr>
                <w:rFonts w:ascii="Times New Roman" w:eastAsia="宋体" w:hAnsi="Times New Roman" w:cs="Times New Roman"/>
                <w:b/>
                <w:sz w:val="20"/>
                <w:szCs w:val="24"/>
              </w:rPr>
              <w:t xml:space="preserve">clause </w:t>
            </w:r>
            <w:r w:rsidR="00C7274E" w:rsidRPr="00C7274E">
              <w:rPr>
                <w:rFonts w:ascii="Times New Roman" w:eastAsia="宋体" w:hAnsi="Times New Roman" w:cs="Times New Roman" w:hint="eastAsia"/>
                <w:b/>
                <w:sz w:val="20"/>
                <w:szCs w:val="20"/>
              </w:rPr>
              <w:t>5</w:t>
            </w:r>
            <w:r w:rsidR="00C7274E" w:rsidRPr="00C7274E">
              <w:rPr>
                <w:rFonts w:ascii="Times New Roman" w:eastAsia="宋体" w:hAnsi="Times New Roman" w:cs="Times New Roman"/>
                <w:b/>
                <w:sz w:val="20"/>
                <w:szCs w:val="20"/>
              </w:rPr>
              <w:t>.3.4</w:t>
            </w:r>
            <w:r w:rsidR="00C7274E">
              <w:rPr>
                <w:rFonts w:ascii="Times New Roman" w:eastAsia="宋体" w:hAnsi="Times New Roman" w:cs="Times New Roman"/>
                <w:b/>
                <w:sz w:val="20"/>
                <w:szCs w:val="20"/>
              </w:rPr>
              <w:t xml:space="preserve"> (eMTC over NTN)</w:t>
            </w:r>
          </w:p>
          <w:p w14:paraId="6A375040" w14:textId="75E71609" w:rsidR="00F66C56" w:rsidRPr="00C7274E" w:rsidRDefault="00C7274E" w:rsidP="00C7274E">
            <w:pPr>
              <w:spacing w:before="100" w:beforeAutospacing="1" w:after="180" w:line="240" w:lineRule="auto"/>
              <w:rPr>
                <w:rFonts w:ascii="Times New Roman" w:eastAsia="宋体" w:hAnsi="Times New Roman" w:cs="Times New Roman"/>
                <w:sz w:val="20"/>
                <w:szCs w:val="20"/>
              </w:rPr>
            </w:pPr>
            <w:r w:rsidRPr="00C7274E">
              <w:rPr>
                <w:rFonts w:ascii="Times New Roman" w:eastAsia="宋体" w:hAnsi="Times New Roman" w:cs="Times New Roman"/>
                <w:sz w:val="20"/>
                <w:szCs w:val="20"/>
              </w:rPr>
              <w:t xml:space="preserve">For BL/CE UEs communicating over NTN, for PUSCH transmission, for frame structure type 1, after a transmission duration of </w:t>
            </w:r>
            <w:r w:rsidRPr="00C7274E">
              <w:rPr>
                <w:rFonts w:ascii="Times New Roman" w:eastAsia="宋体" w:hAnsi="Times New Roman" w:cs="Times New Roman"/>
                <w:noProof/>
                <w:sz w:val="20"/>
                <w:szCs w:val="20"/>
              </w:rPr>
              <w:drawing>
                <wp:inline distT="0" distB="0" distL="0" distR="0" wp14:anchorId="12AF1190" wp14:editId="614182CC">
                  <wp:extent cx="763905" cy="191135"/>
                  <wp:effectExtent l="0" t="0" r="0" b="0"/>
                  <wp:docPr id="25" name="图片 25" descr="C:\Users\102636~1.A25\AppData\Local\Temp\ksohtml60484\wp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102636~1.A25\AppData\Local\Temp\ksohtml60484\wps1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3905" cy="191135"/>
                          </a:xfrm>
                          <a:prstGeom prst="rect">
                            <a:avLst/>
                          </a:prstGeom>
                          <a:noFill/>
                          <a:ln>
                            <a:noFill/>
                          </a:ln>
                        </pic:spPr>
                      </pic:pic>
                    </a:graphicData>
                  </a:graphic>
                </wp:inline>
              </w:drawing>
            </w:r>
            <w:r w:rsidRPr="00C7274E">
              <w:rPr>
                <w:rFonts w:ascii="Times New Roman" w:eastAsia="宋体" w:hAnsi="Times New Roman" w:cs="Times New Roman"/>
                <w:sz w:val="20"/>
                <w:szCs w:val="20"/>
              </w:rPr>
              <w:t xml:space="preserve"> time units </w:t>
            </w:r>
            <w:r w:rsidRPr="00C7274E">
              <w:rPr>
                <w:rFonts w:ascii="Times New Roman" w:eastAsia="宋体" w:hAnsi="Times New Roman" w:cs="Times New Roman"/>
                <w:sz w:val="20"/>
                <w:szCs w:val="20"/>
                <w:highlight w:val="yellow"/>
              </w:rPr>
              <w:t>(which may include subframes that are not BL/CE UL subframes)</w:t>
            </w:r>
            <w:r w:rsidRPr="00C7274E">
              <w:rPr>
                <w:rFonts w:ascii="Times New Roman" w:eastAsia="宋体" w:hAnsi="Times New Roman" w:cs="Times New Roman"/>
                <w:sz w:val="20"/>
                <w:szCs w:val="20"/>
              </w:rPr>
              <w:t xml:space="preserve">, a transmission gap of </w:t>
            </w:r>
            <w:r w:rsidRPr="00C7274E">
              <w:rPr>
                <w:rFonts w:ascii="Times New Roman" w:eastAsia="宋体" w:hAnsi="Times New Roman" w:cs="Times New Roman"/>
                <w:noProof/>
                <w:sz w:val="20"/>
                <w:szCs w:val="20"/>
              </w:rPr>
              <w:drawing>
                <wp:inline distT="0" distB="0" distL="0" distR="0" wp14:anchorId="2943C2DF" wp14:editId="2797BB08">
                  <wp:extent cx="763905" cy="191135"/>
                  <wp:effectExtent l="0" t="0" r="0" b="0"/>
                  <wp:docPr id="26" name="图片 26" descr="C:\Users\102636~1.A25\AppData\Local\Temp\ksohtml60484\wp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102636~1.A25\AppData\Local\Temp\ksohtml60484\wps1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3905" cy="191135"/>
                          </a:xfrm>
                          <a:prstGeom prst="rect">
                            <a:avLst/>
                          </a:prstGeom>
                          <a:noFill/>
                          <a:ln>
                            <a:noFill/>
                          </a:ln>
                        </pic:spPr>
                      </pic:pic>
                    </a:graphicData>
                  </a:graphic>
                </wp:inline>
              </w:drawing>
            </w:r>
            <w:r w:rsidRPr="00C7274E">
              <w:rPr>
                <w:rFonts w:ascii="Times New Roman" w:eastAsia="宋体" w:hAnsi="Times New Roman" w:cs="Times New Roman"/>
                <w:sz w:val="20"/>
                <w:szCs w:val="20"/>
              </w:rPr>
              <w:t xml:space="preserve"> time units shall be counted for the PUSCH resource mapping but not used for transmission of the PUSCH, according to the single UE capability </w:t>
            </w:r>
            <w:r w:rsidRPr="00C7274E">
              <w:rPr>
                <w:rFonts w:ascii="Times New Roman" w:eastAsia="宋体" w:hAnsi="Times New Roman" w:cs="Times New Roman"/>
                <w:i/>
                <w:iCs/>
                <w:sz w:val="20"/>
                <w:szCs w:val="20"/>
              </w:rPr>
              <w:t>ntn-SegmentedPrecompensationGaps-r17</w:t>
            </w:r>
            <w:r w:rsidRPr="00C7274E">
              <w:rPr>
                <w:rFonts w:ascii="Times New Roman" w:eastAsia="宋体" w:hAnsi="Times New Roman" w:cs="Times New Roman"/>
                <w:sz w:val="20"/>
                <w:szCs w:val="20"/>
              </w:rPr>
              <w:t xml:space="preserve">, as specified in 3GPP TS 36.331 [9]. The quantity </w:t>
            </w:r>
            <w:r w:rsidRPr="00C7274E">
              <w:rPr>
                <w:rFonts w:ascii="Times New Roman" w:eastAsia="宋体" w:hAnsi="Times New Roman" w:cs="Times New Roman"/>
                <w:noProof/>
                <w:sz w:val="20"/>
                <w:szCs w:val="20"/>
              </w:rPr>
              <w:drawing>
                <wp:inline distT="0" distB="0" distL="0" distR="0" wp14:anchorId="02EEE978" wp14:editId="227F3F9E">
                  <wp:extent cx="763905" cy="191135"/>
                  <wp:effectExtent l="0" t="0" r="0" b="0"/>
                  <wp:docPr id="27" name="图片 27" descr="C:\Users\102636~1.A25\AppData\Local\Temp\ksohtml60484\wp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102636~1.A25\AppData\Local\Temp\ksohtml60484\wps1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3905" cy="191135"/>
                          </a:xfrm>
                          <a:prstGeom prst="rect">
                            <a:avLst/>
                          </a:prstGeom>
                          <a:noFill/>
                          <a:ln>
                            <a:noFill/>
                          </a:ln>
                        </pic:spPr>
                      </pic:pic>
                    </a:graphicData>
                  </a:graphic>
                </wp:inline>
              </w:drawing>
            </w:r>
            <w:r w:rsidRPr="00C7274E">
              <w:rPr>
                <w:rFonts w:ascii="Times New Roman" w:eastAsia="宋体" w:hAnsi="Times New Roman" w:cs="Times New Roman"/>
                <w:sz w:val="20"/>
                <w:szCs w:val="20"/>
              </w:rPr>
              <w:t xml:space="preserve"> is provided by higher layers, and the quantity </w:t>
            </w:r>
            <w:r w:rsidRPr="00C7274E">
              <w:rPr>
                <w:rFonts w:ascii="Times New Roman" w:eastAsia="宋体" w:hAnsi="Times New Roman" w:cs="Times New Roman"/>
                <w:noProof/>
                <w:sz w:val="20"/>
                <w:szCs w:val="20"/>
              </w:rPr>
              <w:drawing>
                <wp:inline distT="0" distB="0" distL="0" distR="0" wp14:anchorId="06B84B86" wp14:editId="673603DB">
                  <wp:extent cx="763905" cy="191135"/>
                  <wp:effectExtent l="0" t="0" r="0" b="0"/>
                  <wp:docPr id="28" name="图片 28" descr="C:\Users\102636~1.A25\AppData\Local\Temp\ksohtml60484\wp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102636~1.A25\AppData\Local\Temp\ksohtml60484\wps1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3905" cy="191135"/>
                          </a:xfrm>
                          <a:prstGeom prst="rect">
                            <a:avLst/>
                          </a:prstGeom>
                          <a:noFill/>
                          <a:ln>
                            <a:noFill/>
                          </a:ln>
                        </pic:spPr>
                      </pic:pic>
                    </a:graphicData>
                  </a:graphic>
                </wp:inline>
              </w:drawing>
            </w:r>
            <w:r w:rsidRPr="00C7274E">
              <w:rPr>
                <w:rFonts w:ascii="Times New Roman" w:eastAsia="宋体" w:hAnsi="Times New Roman" w:cs="Times New Roman"/>
                <w:sz w:val="20"/>
                <w:szCs w:val="20"/>
              </w:rPr>
              <w:t xml:space="preserve"> is configured by higher layers based on the UE capability, if signalled.</w:t>
            </w:r>
          </w:p>
        </w:tc>
      </w:tr>
    </w:tbl>
    <w:p w14:paraId="2CAD00D0" w14:textId="63A00979" w:rsidR="00D35FA7" w:rsidRDefault="003564BC" w:rsidP="0068418D">
      <w:pPr>
        <w:jc w:val="both"/>
        <w:rPr>
          <w:rFonts w:ascii="Times New Roman" w:eastAsia="宋体" w:hAnsi="Times New Roman" w:cs="Times New Roman"/>
          <w:sz w:val="20"/>
        </w:rPr>
      </w:pPr>
      <w:r>
        <w:rPr>
          <w:rFonts w:ascii="Times New Roman" w:eastAsia="宋体" w:hAnsi="Times New Roman" w:cs="Times New Roman"/>
          <w:sz w:val="20"/>
        </w:rPr>
        <w:t xml:space="preserve">Following similar principle, the postponement due to non-U subframes can also be counted for segment length. </w:t>
      </w:r>
      <w:r w:rsidR="006F6964">
        <w:rPr>
          <w:rFonts w:ascii="Times New Roman" w:eastAsia="宋体" w:hAnsi="Times New Roman" w:cs="Times New Roman"/>
          <w:sz w:val="20"/>
        </w:rPr>
        <w:t>The spec impact can also be minimized</w:t>
      </w:r>
      <w:r w:rsidR="00F66C56">
        <w:rPr>
          <w:rFonts w:ascii="Times New Roman" w:eastAsia="宋体" w:hAnsi="Times New Roman" w:cs="Times New Roman"/>
          <w:sz w:val="20"/>
        </w:rPr>
        <w:t xml:space="preserve"> by</w:t>
      </w:r>
      <w:r w:rsidR="006F6964">
        <w:rPr>
          <w:rFonts w:ascii="Times New Roman" w:eastAsia="宋体" w:hAnsi="Times New Roman" w:cs="Times New Roman"/>
          <w:sz w:val="20"/>
        </w:rPr>
        <w:t xml:space="preserve"> only updating “</w:t>
      </w:r>
      <w:r w:rsidR="006F6964" w:rsidRPr="00D35FA7">
        <w:rPr>
          <w:rFonts w:ascii="Times New Roman" w:eastAsia="宋体" w:hAnsi="Times New Roman" w:cs="Times New Roman"/>
          <w:sz w:val="20"/>
          <w:szCs w:val="20"/>
        </w:rPr>
        <w:t>(and/or postponements due to NPRACH)</w:t>
      </w:r>
      <w:r w:rsidR="006F6964">
        <w:rPr>
          <w:rFonts w:ascii="Times New Roman" w:eastAsia="宋体" w:hAnsi="Times New Roman" w:cs="Times New Roman"/>
          <w:sz w:val="20"/>
        </w:rPr>
        <w:t xml:space="preserve">” </w:t>
      </w:r>
      <w:r w:rsidR="00F66C56">
        <w:rPr>
          <w:rFonts w:ascii="Times New Roman" w:eastAsia="宋体" w:hAnsi="Times New Roman" w:cs="Times New Roman"/>
          <w:sz w:val="20"/>
        </w:rPr>
        <w:t xml:space="preserve">to include the postponement due to non-U subframe, e.g., </w:t>
      </w:r>
      <w:r w:rsidR="00A90C9D">
        <w:rPr>
          <w:rFonts w:ascii="Times New Roman" w:eastAsia="宋体" w:hAnsi="Times New Roman" w:cs="Times New Roman"/>
          <w:sz w:val="20"/>
        </w:rPr>
        <w:t xml:space="preserve">update to </w:t>
      </w:r>
      <w:r w:rsidR="00F66C56">
        <w:rPr>
          <w:rFonts w:ascii="Times New Roman" w:eastAsia="宋体" w:hAnsi="Times New Roman" w:cs="Times New Roman"/>
          <w:sz w:val="20"/>
        </w:rPr>
        <w:t>“</w:t>
      </w:r>
      <w:r w:rsidR="00F66C56" w:rsidRPr="00D35FA7">
        <w:rPr>
          <w:rFonts w:ascii="Times New Roman" w:eastAsia="宋体" w:hAnsi="Times New Roman" w:cs="Times New Roman"/>
          <w:sz w:val="20"/>
          <w:szCs w:val="20"/>
        </w:rPr>
        <w:t>(</w:t>
      </w:r>
      <w:r w:rsidR="00F66C56">
        <w:rPr>
          <w:rFonts w:ascii="Times New Roman" w:eastAsia="宋体" w:hAnsi="Times New Roman" w:cs="Times New Roman"/>
          <w:sz w:val="20"/>
          <w:szCs w:val="20"/>
        </w:rPr>
        <w:t>which may include</w:t>
      </w:r>
      <w:r w:rsidR="00C7274E">
        <w:rPr>
          <w:rFonts w:ascii="Times New Roman" w:eastAsia="宋体" w:hAnsi="Times New Roman" w:cs="Times New Roman"/>
          <w:sz w:val="20"/>
          <w:szCs w:val="20"/>
        </w:rPr>
        <w:t xml:space="preserve"> </w:t>
      </w:r>
      <w:r w:rsidR="00C7274E" w:rsidRPr="00C7274E">
        <w:rPr>
          <w:rFonts w:ascii="Times New Roman" w:eastAsia="宋体" w:hAnsi="Times New Roman" w:cs="Times New Roman"/>
          <w:sz w:val="20"/>
          <w:szCs w:val="20"/>
        </w:rPr>
        <w:t>subframes that are not</w:t>
      </w:r>
      <w:r w:rsidR="00C7274E">
        <w:rPr>
          <w:rFonts w:ascii="Times New Roman" w:eastAsia="宋体" w:hAnsi="Times New Roman" w:cs="Times New Roman"/>
          <w:sz w:val="20"/>
          <w:szCs w:val="20"/>
        </w:rPr>
        <w:t xml:space="preserve"> NB-IoT</w:t>
      </w:r>
      <w:r w:rsidR="00C7274E" w:rsidRPr="00C7274E">
        <w:rPr>
          <w:rFonts w:ascii="Times New Roman" w:eastAsia="宋体" w:hAnsi="Times New Roman" w:cs="Times New Roman"/>
          <w:sz w:val="20"/>
          <w:szCs w:val="20"/>
        </w:rPr>
        <w:t xml:space="preserve"> UL subframes</w:t>
      </w:r>
      <w:r w:rsidR="00F66C56">
        <w:rPr>
          <w:rFonts w:ascii="Times New Roman" w:eastAsia="宋体" w:hAnsi="Times New Roman" w:cs="Times New Roman"/>
          <w:sz w:val="20"/>
          <w:szCs w:val="20"/>
        </w:rPr>
        <w:t xml:space="preserve">, </w:t>
      </w:r>
      <w:r w:rsidR="00F66C56" w:rsidRPr="00D35FA7">
        <w:rPr>
          <w:rFonts w:ascii="Times New Roman" w:eastAsia="宋体" w:hAnsi="Times New Roman" w:cs="Times New Roman"/>
          <w:sz w:val="20"/>
          <w:szCs w:val="20"/>
        </w:rPr>
        <w:t>and/or postponements due to NPRACH)</w:t>
      </w:r>
      <w:r w:rsidR="00F66C56">
        <w:rPr>
          <w:rFonts w:ascii="Times New Roman" w:eastAsia="宋体" w:hAnsi="Times New Roman" w:cs="Times New Roman"/>
          <w:sz w:val="20"/>
        </w:rPr>
        <w:t>”</w:t>
      </w:r>
      <w:r w:rsidR="00C7274E">
        <w:rPr>
          <w:rFonts w:ascii="Times New Roman" w:eastAsia="宋体" w:hAnsi="Times New Roman" w:cs="Times New Roman"/>
          <w:sz w:val="20"/>
        </w:rPr>
        <w:t>.</w:t>
      </w:r>
      <w:r w:rsidR="001C56C8">
        <w:rPr>
          <w:rFonts w:ascii="Times New Roman" w:eastAsia="宋体" w:hAnsi="Times New Roman" w:cs="Times New Roman"/>
          <w:sz w:val="20"/>
        </w:rPr>
        <w:t xml:space="preserve"> Since the WID clarifies to support IoT-NTN TDD mode with minimized update on existing IoT-NTN FDD mode, the option 1 with minimized spec impact </w:t>
      </w:r>
      <w:r w:rsidR="00D96954">
        <w:rPr>
          <w:rFonts w:ascii="Times New Roman" w:eastAsia="宋体" w:hAnsi="Times New Roman" w:cs="Times New Roman"/>
          <w:sz w:val="20"/>
        </w:rPr>
        <w:t>should be adopted</w:t>
      </w:r>
      <w:r w:rsidR="001C56C8">
        <w:rPr>
          <w:rFonts w:ascii="Times New Roman" w:eastAsia="宋体" w:hAnsi="Times New Roman" w:cs="Times New Roman"/>
          <w:sz w:val="20"/>
        </w:rPr>
        <w:t>.</w:t>
      </w:r>
    </w:p>
    <w:p w14:paraId="66186F24" w14:textId="0B906C47" w:rsidR="001C56C8" w:rsidRDefault="001C56C8" w:rsidP="001C56C8">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sidR="00157B59">
        <w:rPr>
          <w:rFonts w:ascii="Times New Roman" w:eastAsia="Calibri" w:hAnsi="Times New Roman" w:cs="Times New Roman"/>
          <w:b/>
          <w:bCs/>
          <w:i/>
          <w:iCs/>
          <w:sz w:val="20"/>
        </w:rPr>
        <w:t>8</w:t>
      </w:r>
      <w:r>
        <w:rPr>
          <w:rFonts w:ascii="Times New Roman" w:eastAsia="Calibri" w:hAnsi="Times New Roman" w:cs="Times New Roman" w:hint="eastAsia"/>
          <w:b/>
          <w:bCs/>
          <w:i/>
          <w:iCs/>
          <w:sz w:val="20"/>
        </w:rPr>
        <w:t xml:space="preserve">: </w:t>
      </w:r>
      <w:r w:rsidRPr="001C56C8">
        <w:rPr>
          <w:rFonts w:ascii="Times New Roman" w:eastAsia="宋体" w:hAnsi="Times New Roman" w:cs="Times New Roman"/>
          <w:bCs/>
          <w:i/>
          <w:iCs/>
          <w:sz w:val="20"/>
        </w:rPr>
        <w:t>For segmented pre-compensation</w:t>
      </w:r>
      <w:r>
        <w:rPr>
          <w:rFonts w:ascii="Times New Roman" w:eastAsia="宋体" w:hAnsi="Times New Roman" w:cs="Times New Roman"/>
          <w:bCs/>
          <w:i/>
          <w:iCs/>
          <w:sz w:val="20"/>
        </w:rPr>
        <w:t>, adopt</w:t>
      </w:r>
      <w:r w:rsidR="00C3733A">
        <w:rPr>
          <w:rFonts w:ascii="Times New Roman" w:eastAsia="宋体" w:hAnsi="Times New Roman" w:cs="Times New Roman"/>
          <w:bCs/>
          <w:i/>
          <w:iCs/>
          <w:sz w:val="20"/>
        </w:rPr>
        <w:t xml:space="preserve"> following option</w:t>
      </w:r>
      <w:r>
        <w:rPr>
          <w:rFonts w:ascii="Times New Roman" w:eastAsia="宋体" w:hAnsi="Times New Roman" w:cs="Times New Roman"/>
          <w:bCs/>
          <w:i/>
          <w:iCs/>
          <w:sz w:val="20"/>
        </w:rPr>
        <w:t xml:space="preserve"> for IoT-NTN TDD mode.</w:t>
      </w:r>
    </w:p>
    <w:p w14:paraId="583439A2" w14:textId="41A63C3D" w:rsidR="001C56C8" w:rsidRPr="00C3733A" w:rsidRDefault="001C56C8" w:rsidP="001C56C8">
      <w:pPr>
        <w:numPr>
          <w:ilvl w:val="0"/>
          <w:numId w:val="19"/>
        </w:numPr>
        <w:overflowPunct w:val="0"/>
        <w:autoSpaceDE w:val="0"/>
        <w:autoSpaceDN w:val="0"/>
        <w:adjustRightInd w:val="0"/>
        <w:spacing w:after="0" w:line="240" w:lineRule="auto"/>
        <w:contextualSpacing/>
        <w:textAlignment w:val="baseline"/>
        <w:rPr>
          <w:rFonts w:ascii="Times" w:eastAsia="Batang" w:hAnsi="Times" w:cs="Times New Roman"/>
          <w:bCs/>
          <w:i/>
          <w:sz w:val="20"/>
          <w:szCs w:val="20"/>
          <w:lang w:val="en-GB"/>
        </w:rPr>
      </w:pPr>
      <w:r w:rsidRPr="00DC5BFF">
        <w:rPr>
          <w:rFonts w:ascii="Times" w:eastAsia="Batang" w:hAnsi="Times" w:cs="Times New Roman"/>
          <w:bCs/>
          <w:i/>
          <w:sz w:val="20"/>
          <w:szCs w:val="20"/>
          <w:lang w:val="en-GB"/>
        </w:rPr>
        <w:t>Option 1: Dropped/postponed NPUSCH / NPRACH are counted for segment determination</w:t>
      </w:r>
    </w:p>
    <w:p w14:paraId="367C4140" w14:textId="77777777"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hint="eastAsia"/>
          <w:b/>
          <w:bCs/>
          <w:sz w:val="28"/>
          <w:szCs w:val="30"/>
          <w:lang w:val="en-US"/>
        </w:rPr>
        <w:t>Conclusions</w:t>
      </w:r>
    </w:p>
    <w:p w14:paraId="57DFFC7B" w14:textId="77777777" w:rsidR="007323A9" w:rsidRDefault="002E467D">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73DB2275" w14:textId="77777777" w:rsidR="00C3733A" w:rsidRDefault="00C3733A" w:rsidP="00C3733A">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1</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sidRPr="009C4E44">
        <w:rPr>
          <w:rFonts w:ascii="Times New Roman" w:eastAsia="宋体" w:hAnsi="Times New Roman" w:cs="Times New Roman"/>
          <w:bCs/>
          <w:i/>
          <w:iCs/>
          <w:sz w:val="20"/>
        </w:rPr>
        <w:t>RAN1 concludes that SIB1-NB reception following current specifications is feasible at least for some configurations</w:t>
      </w:r>
      <w:r>
        <w:rPr>
          <w:rFonts w:ascii="Times New Roman" w:eastAsia="宋体" w:hAnsi="Times New Roman" w:cs="Times New Roman"/>
          <w:bCs/>
          <w:i/>
          <w:iCs/>
          <w:sz w:val="20"/>
        </w:rPr>
        <w:t>.</w:t>
      </w:r>
    </w:p>
    <w:p w14:paraId="38C5D2F9" w14:textId="77777777" w:rsidR="00C3733A" w:rsidRPr="008E22A6" w:rsidRDefault="00C3733A" w:rsidP="00C3733A">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1</w:t>
      </w:r>
      <w:r>
        <w:rPr>
          <w:rFonts w:ascii="Times New Roman" w:eastAsia="Calibri" w:hAnsi="Times New Roman" w:cs="Times New Roman" w:hint="eastAsia"/>
          <w:b/>
          <w:bCs/>
          <w:i/>
          <w:iCs/>
          <w:sz w:val="20"/>
        </w:rPr>
        <w:t xml:space="preserve">: </w:t>
      </w:r>
      <w:r w:rsidRPr="009C4E44">
        <w:rPr>
          <w:rFonts w:ascii="Times New Roman" w:eastAsia="宋体" w:hAnsi="Times New Roman" w:cs="Times New Roman"/>
          <w:bCs/>
          <w:i/>
          <w:iCs/>
          <w:sz w:val="20"/>
        </w:rPr>
        <w:t>SIB1-NB</w:t>
      </w:r>
      <w:r w:rsidRPr="009C4E44">
        <w:rPr>
          <w:rFonts w:ascii="Times New Roman" w:eastAsia="Calibri" w:hAnsi="Times New Roman" w:cs="Times New Roman"/>
          <w:bCs/>
          <w:i/>
          <w:iCs/>
          <w:sz w:val="20"/>
        </w:rPr>
        <w:t xml:space="preserve"> transmissions are dropped in non-D NB-IoT subframes</w:t>
      </w:r>
      <w:r>
        <w:rPr>
          <w:rFonts w:ascii="Times New Roman" w:eastAsia="Calibri" w:hAnsi="Times New Roman" w:cs="Times New Roman"/>
          <w:bCs/>
          <w:i/>
          <w:iCs/>
          <w:sz w:val="20"/>
        </w:rPr>
        <w:t>.</w:t>
      </w:r>
    </w:p>
    <w:p w14:paraId="39DE30D2" w14:textId="77777777" w:rsidR="00C3733A" w:rsidRDefault="00C3733A" w:rsidP="00C3733A">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lastRenderedPageBreak/>
        <w:t xml:space="preserve">Observation </w:t>
      </w:r>
      <w:r>
        <w:rPr>
          <w:rFonts w:ascii="Times New Roman" w:eastAsia="宋体" w:hAnsi="Times New Roman" w:cs="Times New Roman"/>
          <w:b/>
          <w:bCs/>
          <w:i/>
          <w:iCs/>
          <w:sz w:val="20"/>
        </w:rPr>
        <w:t>2</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NPDCCH is only mapped to NB-IoT DL subframes. No need to introduce additional NB-IoT TDD-specific rules for handling non “NB-IoT DL subframes” for NPDCCH.</w:t>
      </w:r>
    </w:p>
    <w:p w14:paraId="248F3BA3" w14:textId="77777777" w:rsidR="00C3733A" w:rsidRPr="00181D49" w:rsidRDefault="00C3733A" w:rsidP="00C3733A">
      <w:pPr>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3</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NPDCCH overlapping with non-D NB-IoT subframes will be postponed to NB-IoT DL subframes per current specification and agreement</w:t>
      </w:r>
      <w:r w:rsidRPr="00181D49">
        <w:rPr>
          <w:rFonts w:ascii="Times New Roman" w:eastAsia="宋体" w:hAnsi="Times New Roman" w:cs="Times New Roman"/>
          <w:bCs/>
          <w:i/>
          <w:iCs/>
          <w:sz w:val="20"/>
        </w:rPr>
        <w:t>.</w:t>
      </w:r>
    </w:p>
    <w:p w14:paraId="25EFA905" w14:textId="77777777" w:rsidR="00C3733A" w:rsidRDefault="00C3733A" w:rsidP="00C3733A">
      <w:pPr>
        <w:jc w:val="both"/>
        <w:rPr>
          <w:rFonts w:ascii="Times New Roman" w:eastAsia="Calibri"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4</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Current specifications have already defined rules to handle the overlap of NPDCCH search spaces</w:t>
      </w:r>
      <w:r>
        <w:rPr>
          <w:rFonts w:ascii="Times New Roman" w:eastAsia="Calibri" w:hAnsi="Times New Roman" w:cs="Times New Roman"/>
          <w:bCs/>
          <w:i/>
          <w:iCs/>
          <w:sz w:val="20"/>
        </w:rPr>
        <w:t>. That is, the overlap of NPDCCH search spaces due to postponement can be handled by current specification and no need to match the periodicity of NPDCCH monitoring and TDD pattern.</w:t>
      </w:r>
    </w:p>
    <w:p w14:paraId="0D226C2C" w14:textId="77777777" w:rsidR="00867AAA" w:rsidRPr="008E22A6" w:rsidRDefault="00867AAA" w:rsidP="00867AAA">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3</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No need to introduce new NPDCCH monitoring periodicities</w:t>
      </w:r>
      <w:r>
        <w:rPr>
          <w:rFonts w:ascii="Times New Roman" w:eastAsia="Calibri" w:hAnsi="Times New Roman" w:cs="Times New Roman"/>
          <w:bCs/>
          <w:i/>
          <w:iCs/>
          <w:sz w:val="20"/>
        </w:rPr>
        <w:t>.</w:t>
      </w:r>
    </w:p>
    <w:p w14:paraId="7C9C83B6" w14:textId="77777777" w:rsidR="00867AAA" w:rsidRPr="008E22A6" w:rsidRDefault="00867AAA" w:rsidP="00867AAA">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4</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All the configuration values for NPDCCH can be kept to provide higher configuration flexibility and minimize spec effort. eNB can avoid the configuration of improper values (e.g., too large repetition number) up to implementation.</w:t>
      </w:r>
    </w:p>
    <w:p w14:paraId="49CC666B" w14:textId="3FF337BE" w:rsidR="00157B59" w:rsidRPr="006756AF" w:rsidRDefault="00157B59" w:rsidP="00157B59">
      <w:pPr>
        <w:jc w:val="both"/>
        <w:rPr>
          <w:rFonts w:ascii="Times New Roman" w:hAnsi="Times New Roman" w:cs="Times New Roman"/>
          <w:bCs/>
          <w:i/>
          <w:iCs/>
          <w:sz w:val="20"/>
        </w:rPr>
      </w:pPr>
      <w:r>
        <w:rPr>
          <w:rFonts w:ascii="Times New Roman" w:eastAsia="宋体" w:hAnsi="Times New Roman" w:cs="Times New Roman" w:hint="eastAsia"/>
          <w:b/>
          <w:bCs/>
          <w:i/>
          <w:iCs/>
          <w:sz w:val="20"/>
        </w:rPr>
        <w:t xml:space="preserve">Observation </w:t>
      </w:r>
      <w:r w:rsidR="00CB4EC7">
        <w:rPr>
          <w:rFonts w:ascii="Times New Roman" w:eastAsia="宋体" w:hAnsi="Times New Roman" w:cs="Times New Roman"/>
          <w:b/>
          <w:bCs/>
          <w:i/>
          <w:iCs/>
          <w:sz w:val="20"/>
        </w:rPr>
        <w:t>5</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According to assumptions in study phase, the DL link budget is high and long DL repetition may not be needed</w:t>
      </w:r>
      <w:r>
        <w:rPr>
          <w:rFonts w:ascii="Times New Roman" w:eastAsia="Calibri" w:hAnsi="Times New Roman" w:cs="Times New Roman"/>
          <w:bCs/>
          <w:i/>
          <w:iCs/>
          <w:sz w:val="20"/>
        </w:rPr>
        <w:t>. Enhancement on DL transmission gap is not necessary.</w:t>
      </w:r>
    </w:p>
    <w:p w14:paraId="4181F61B" w14:textId="77777777" w:rsidR="00157B59" w:rsidRPr="00E013B1" w:rsidRDefault="00157B59" w:rsidP="00157B59">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5</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No need to modify the mechanism of DL transmission gap for IoT-NTN TDD.</w:t>
      </w:r>
    </w:p>
    <w:p w14:paraId="677CA43F" w14:textId="77777777" w:rsidR="00157B59" w:rsidRDefault="00157B59" w:rsidP="00157B59">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6</w:t>
      </w:r>
      <w:r>
        <w:rPr>
          <w:rFonts w:ascii="Times New Roman" w:eastAsia="Calibri" w:hAnsi="Times New Roman" w:cs="Times New Roman" w:hint="eastAsia"/>
          <w:b/>
          <w:bCs/>
          <w:i/>
          <w:iCs/>
          <w:sz w:val="20"/>
        </w:rPr>
        <w:t xml:space="preserve">: </w:t>
      </w:r>
      <w:r w:rsidRPr="00E013B1">
        <w:rPr>
          <w:rFonts w:ascii="Times New Roman" w:eastAsia="宋体" w:hAnsi="Times New Roman" w:cs="Times New Roman"/>
          <w:bCs/>
          <w:i/>
          <w:iCs/>
          <w:sz w:val="20"/>
        </w:rPr>
        <w:t>NPRACH transmissions are postponed in non-U NB-IoT subframes until the next U NB-IoT subframe(s)</w:t>
      </w:r>
      <w:r>
        <w:rPr>
          <w:rFonts w:ascii="Times New Roman" w:eastAsia="宋体" w:hAnsi="Times New Roman" w:cs="Times New Roman"/>
          <w:bCs/>
          <w:i/>
          <w:iCs/>
          <w:sz w:val="20"/>
        </w:rPr>
        <w:t xml:space="preserve"> and the unit of postponement should be preamble repetition unit.</w:t>
      </w:r>
    </w:p>
    <w:p w14:paraId="33B5E4A5" w14:textId="77777777" w:rsidR="00157B59" w:rsidRDefault="00157B59" w:rsidP="00157B59">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7</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Introduction of new NPRACH periodicities is not necessary after adopting the option to postpone NPRACH transmission in non-U NB-IoT subframes to next U NB-IoT subframes.</w:t>
      </w:r>
    </w:p>
    <w:p w14:paraId="4B8B91DC" w14:textId="344E70B3" w:rsidR="00C3733A" w:rsidRDefault="00C3733A" w:rsidP="00C3733A">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sidR="00157B59">
        <w:rPr>
          <w:rFonts w:ascii="Times New Roman" w:eastAsia="Calibri" w:hAnsi="Times New Roman" w:cs="Times New Roman"/>
          <w:b/>
          <w:bCs/>
          <w:i/>
          <w:iCs/>
          <w:sz w:val="20"/>
        </w:rPr>
        <w:t>8</w:t>
      </w:r>
      <w:r>
        <w:rPr>
          <w:rFonts w:ascii="Times New Roman" w:eastAsia="Calibri" w:hAnsi="Times New Roman" w:cs="Times New Roman" w:hint="eastAsia"/>
          <w:b/>
          <w:bCs/>
          <w:i/>
          <w:iCs/>
          <w:sz w:val="20"/>
        </w:rPr>
        <w:t xml:space="preserve">: </w:t>
      </w:r>
      <w:r w:rsidRPr="001C56C8">
        <w:rPr>
          <w:rFonts w:ascii="Times New Roman" w:eastAsia="宋体" w:hAnsi="Times New Roman" w:cs="Times New Roman"/>
          <w:bCs/>
          <w:i/>
          <w:iCs/>
          <w:sz w:val="20"/>
        </w:rPr>
        <w:t>For segmented pre-compensation</w:t>
      </w:r>
      <w:r>
        <w:rPr>
          <w:rFonts w:ascii="Times New Roman" w:eastAsia="宋体" w:hAnsi="Times New Roman" w:cs="Times New Roman"/>
          <w:bCs/>
          <w:i/>
          <w:iCs/>
          <w:sz w:val="20"/>
        </w:rPr>
        <w:t>, adopt following option for IoT-NTN TDD mode.</w:t>
      </w:r>
    </w:p>
    <w:p w14:paraId="44677AB7" w14:textId="77777777" w:rsidR="00C3733A" w:rsidRPr="00C3733A" w:rsidRDefault="00C3733A" w:rsidP="00C3733A">
      <w:pPr>
        <w:numPr>
          <w:ilvl w:val="0"/>
          <w:numId w:val="19"/>
        </w:numPr>
        <w:overflowPunct w:val="0"/>
        <w:autoSpaceDE w:val="0"/>
        <w:autoSpaceDN w:val="0"/>
        <w:adjustRightInd w:val="0"/>
        <w:spacing w:after="0" w:line="240" w:lineRule="auto"/>
        <w:contextualSpacing/>
        <w:textAlignment w:val="baseline"/>
        <w:rPr>
          <w:rFonts w:ascii="Times" w:eastAsia="Batang" w:hAnsi="Times" w:cs="Times New Roman"/>
          <w:bCs/>
          <w:i/>
          <w:sz w:val="20"/>
          <w:szCs w:val="20"/>
          <w:lang w:val="en-GB"/>
        </w:rPr>
      </w:pPr>
      <w:r w:rsidRPr="00DC5BFF">
        <w:rPr>
          <w:rFonts w:ascii="Times" w:eastAsia="Batang" w:hAnsi="Times" w:cs="Times New Roman"/>
          <w:bCs/>
          <w:i/>
          <w:sz w:val="20"/>
          <w:szCs w:val="20"/>
          <w:lang w:val="en-GB"/>
        </w:rPr>
        <w:t>Option 1: Dropped/postponed NPUSCH / NPRACH are counted for segment determination</w:t>
      </w:r>
    </w:p>
    <w:p w14:paraId="50B73C02" w14:textId="77777777" w:rsidR="007323A9" w:rsidRDefault="002E467D">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2085F02C" w14:textId="60ADB16D" w:rsidR="007323A9" w:rsidRDefault="002E467D">
      <w:pPr>
        <w:pStyle w:val="af6"/>
        <w:numPr>
          <w:ilvl w:val="0"/>
          <w:numId w:val="8"/>
        </w:numPr>
        <w:spacing w:after="0" w:line="240" w:lineRule="auto"/>
        <w:ind w:leftChars="0"/>
        <w:jc w:val="both"/>
        <w:rPr>
          <w:rFonts w:ascii="Times New Roman" w:hAnsi="Times New Roman" w:cs="Times New Roman"/>
          <w:sz w:val="20"/>
          <w:szCs w:val="20"/>
        </w:rPr>
      </w:pPr>
      <w:r>
        <w:rPr>
          <w:rFonts w:ascii="Times New Roman" w:hAnsi="Times New Roman" w:cs="Times New Roman"/>
          <w:sz w:val="20"/>
          <w:szCs w:val="20"/>
        </w:rPr>
        <w:t>Chair’s notes for RAN1 #1</w:t>
      </w:r>
      <w:r w:rsidR="00157B59">
        <w:rPr>
          <w:rFonts w:ascii="Times New Roman" w:hAnsi="Times New Roman" w:cs="Times New Roman"/>
          <w:sz w:val="20"/>
          <w:szCs w:val="20"/>
        </w:rPr>
        <w:t>20</w:t>
      </w:r>
    </w:p>
    <w:sectPr w:rsidR="007323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76D38" w14:textId="77777777" w:rsidR="00E845F2" w:rsidRDefault="00E845F2">
      <w:pPr>
        <w:spacing w:line="240" w:lineRule="auto"/>
      </w:pPr>
      <w:r>
        <w:separator/>
      </w:r>
    </w:p>
  </w:endnote>
  <w:endnote w:type="continuationSeparator" w:id="0">
    <w:p w14:paraId="32883D11" w14:textId="77777777" w:rsidR="00E845F2" w:rsidRDefault="00E845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A98D6" w14:textId="77777777" w:rsidR="00E845F2" w:rsidRDefault="00E845F2">
      <w:pPr>
        <w:spacing w:after="0"/>
      </w:pPr>
      <w:r>
        <w:separator/>
      </w:r>
    </w:p>
  </w:footnote>
  <w:footnote w:type="continuationSeparator" w:id="0">
    <w:p w14:paraId="64E3A09F" w14:textId="77777777" w:rsidR="00E845F2" w:rsidRDefault="00E845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4B58C7"/>
    <w:multiLevelType w:val="multilevel"/>
    <w:tmpl w:val="4288AA8C"/>
    <w:lvl w:ilvl="0">
      <w:start w:val="1"/>
      <w:numFmt w:val="bullet"/>
      <w:lvlText w:val="•"/>
      <w:lvlJc w:val="left"/>
      <w:pPr>
        <w:tabs>
          <w:tab w:val="num" w:pos="720"/>
        </w:tabs>
        <w:ind w:left="720" w:hanging="360"/>
      </w:pPr>
      <w:rPr>
        <w:rFonts w:ascii="Arial" w:hAnsi="Arial" w:cs="Arial" w:hint="default"/>
      </w:rPr>
    </w:lvl>
    <w:lvl w:ilvl="1">
      <w:start w:val="52"/>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212278"/>
    <w:multiLevelType w:val="multilevel"/>
    <w:tmpl w:val="FB2EC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EA25B7"/>
    <w:multiLevelType w:val="multilevel"/>
    <w:tmpl w:val="0CEA2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A74B27"/>
    <w:multiLevelType w:val="multilevel"/>
    <w:tmpl w:val="BD0A9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9D0FC1"/>
    <w:multiLevelType w:val="multilevel"/>
    <w:tmpl w:val="2472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96E2F"/>
    <w:multiLevelType w:val="hybridMultilevel"/>
    <w:tmpl w:val="A82C0B8E"/>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3F158"/>
    <w:multiLevelType w:val="multilevel"/>
    <w:tmpl w:val="1C56835A"/>
    <w:lvl w:ilvl="0">
      <w:start w:val="1"/>
      <w:numFmt w:val="decimal"/>
      <w:lvlText w:val="%1."/>
      <w:lvlJc w:val="left"/>
      <w:pPr>
        <w:ind w:left="425" w:hanging="425"/>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11"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146A93"/>
    <w:multiLevelType w:val="multilevel"/>
    <w:tmpl w:val="2A146A93"/>
    <w:lvl w:ilvl="0">
      <w:start w:val="2"/>
      <w:numFmt w:val="bullet"/>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2AFF3E7C"/>
    <w:multiLevelType w:val="multilevel"/>
    <w:tmpl w:val="2AFF3E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F93980"/>
    <w:multiLevelType w:val="hybridMultilevel"/>
    <w:tmpl w:val="56F0C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C8B3BDC"/>
    <w:multiLevelType w:val="hybridMultilevel"/>
    <w:tmpl w:val="424AA4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83875B1"/>
    <w:multiLevelType w:val="multilevel"/>
    <w:tmpl w:val="B5088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0"/>
  </w:num>
  <w:num w:numId="4">
    <w:abstractNumId w:val="18"/>
  </w:num>
  <w:num w:numId="5">
    <w:abstractNumId w:val="13"/>
  </w:num>
  <w:num w:numId="6">
    <w:abstractNumId w:val="5"/>
  </w:num>
  <w:num w:numId="7">
    <w:abstractNumId w:val="12"/>
  </w:num>
  <w:num w:numId="8">
    <w:abstractNumId w:val="16"/>
  </w:num>
  <w:num w:numId="9">
    <w:abstractNumId w:val="17"/>
  </w:num>
  <w:num w:numId="10">
    <w:abstractNumId w:val="0"/>
  </w:num>
  <w:num w:numId="11">
    <w:abstractNumId w:val="20"/>
  </w:num>
  <w:num w:numId="12">
    <w:abstractNumId w:val="8"/>
  </w:num>
  <w:num w:numId="13">
    <w:abstractNumId w:val="21"/>
  </w:num>
  <w:num w:numId="14">
    <w:abstractNumId w:val="4"/>
  </w:num>
  <w:num w:numId="15">
    <w:abstractNumId w:val="7"/>
  </w:num>
  <w:num w:numId="16">
    <w:abstractNumId w:val="9"/>
  </w:num>
  <w:num w:numId="17">
    <w:abstractNumId w:val="19"/>
  </w:num>
  <w:num w:numId="18">
    <w:abstractNumId w:val="3"/>
  </w:num>
  <w:num w:numId="19">
    <w:abstractNumId w:val="11"/>
  </w:num>
  <w:num w:numId="20">
    <w:abstractNumId w:val="6"/>
  </w:num>
  <w:num w:numId="21">
    <w:abstractNumId w:val="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AE9B5828"/>
    <w:rsid w:val="B16FA7E2"/>
    <w:rsid w:val="B7EF8654"/>
    <w:rsid w:val="BBED1BC1"/>
    <w:rsid w:val="D9B412FC"/>
    <w:rsid w:val="DAC7ADD4"/>
    <w:rsid w:val="DB5DFF66"/>
    <w:rsid w:val="DB6D2D51"/>
    <w:rsid w:val="DE7F0A0C"/>
    <w:rsid w:val="E9ABC3FA"/>
    <w:rsid w:val="EF3DCBC0"/>
    <w:rsid w:val="EF7D8DBE"/>
    <w:rsid w:val="EFF98C89"/>
    <w:rsid w:val="F3FFDE54"/>
    <w:rsid w:val="F6B7F579"/>
    <w:rsid w:val="F6F576F6"/>
    <w:rsid w:val="FB5BD1CE"/>
    <w:rsid w:val="FBB1B131"/>
    <w:rsid w:val="FCFF5499"/>
    <w:rsid w:val="FDDE5B27"/>
    <w:rsid w:val="FE7E3559"/>
    <w:rsid w:val="FEDD92AC"/>
    <w:rsid w:val="FF771254"/>
    <w:rsid w:val="FFDB2555"/>
    <w:rsid w:val="00001A1E"/>
    <w:rsid w:val="000039BE"/>
    <w:rsid w:val="00004DF2"/>
    <w:rsid w:val="000066BF"/>
    <w:rsid w:val="00007764"/>
    <w:rsid w:val="00010661"/>
    <w:rsid w:val="000139C8"/>
    <w:rsid w:val="00013EE7"/>
    <w:rsid w:val="00014155"/>
    <w:rsid w:val="000141A1"/>
    <w:rsid w:val="00014FBE"/>
    <w:rsid w:val="00015922"/>
    <w:rsid w:val="00015EDD"/>
    <w:rsid w:val="000179D0"/>
    <w:rsid w:val="00020ACD"/>
    <w:rsid w:val="00020D74"/>
    <w:rsid w:val="000231DA"/>
    <w:rsid w:val="00024E85"/>
    <w:rsid w:val="00025C03"/>
    <w:rsid w:val="00025DA5"/>
    <w:rsid w:val="00026EB7"/>
    <w:rsid w:val="00030A1B"/>
    <w:rsid w:val="00033500"/>
    <w:rsid w:val="0003412A"/>
    <w:rsid w:val="00034B6A"/>
    <w:rsid w:val="00034EB1"/>
    <w:rsid w:val="000351A8"/>
    <w:rsid w:val="00035318"/>
    <w:rsid w:val="000357EB"/>
    <w:rsid w:val="0003653D"/>
    <w:rsid w:val="000366A8"/>
    <w:rsid w:val="000429B5"/>
    <w:rsid w:val="0004370E"/>
    <w:rsid w:val="0004527F"/>
    <w:rsid w:val="00046304"/>
    <w:rsid w:val="000509A4"/>
    <w:rsid w:val="0005167D"/>
    <w:rsid w:val="00054599"/>
    <w:rsid w:val="00054D2C"/>
    <w:rsid w:val="0005582F"/>
    <w:rsid w:val="0005674D"/>
    <w:rsid w:val="00056C6F"/>
    <w:rsid w:val="0005721F"/>
    <w:rsid w:val="00057891"/>
    <w:rsid w:val="00057D1B"/>
    <w:rsid w:val="00061556"/>
    <w:rsid w:val="00063AA8"/>
    <w:rsid w:val="000641CB"/>
    <w:rsid w:val="00064EAC"/>
    <w:rsid w:val="00066FBC"/>
    <w:rsid w:val="0006742E"/>
    <w:rsid w:val="00070328"/>
    <w:rsid w:val="00073767"/>
    <w:rsid w:val="0007626B"/>
    <w:rsid w:val="0007702C"/>
    <w:rsid w:val="0008090C"/>
    <w:rsid w:val="000833CE"/>
    <w:rsid w:val="00083791"/>
    <w:rsid w:val="00084A7C"/>
    <w:rsid w:val="0008667E"/>
    <w:rsid w:val="00087BCD"/>
    <w:rsid w:val="00095520"/>
    <w:rsid w:val="000A078D"/>
    <w:rsid w:val="000A0A27"/>
    <w:rsid w:val="000A0C3B"/>
    <w:rsid w:val="000A1578"/>
    <w:rsid w:val="000A1777"/>
    <w:rsid w:val="000A237E"/>
    <w:rsid w:val="000A3E8C"/>
    <w:rsid w:val="000A42A5"/>
    <w:rsid w:val="000A5EB8"/>
    <w:rsid w:val="000B0F18"/>
    <w:rsid w:val="000B1893"/>
    <w:rsid w:val="000B2109"/>
    <w:rsid w:val="000B224E"/>
    <w:rsid w:val="000B37A3"/>
    <w:rsid w:val="000B4535"/>
    <w:rsid w:val="000B4BC9"/>
    <w:rsid w:val="000B54AC"/>
    <w:rsid w:val="000B5A7C"/>
    <w:rsid w:val="000B5CC3"/>
    <w:rsid w:val="000B6071"/>
    <w:rsid w:val="000B77A1"/>
    <w:rsid w:val="000C5155"/>
    <w:rsid w:val="000C6772"/>
    <w:rsid w:val="000C6FDE"/>
    <w:rsid w:val="000C7FFD"/>
    <w:rsid w:val="000D0482"/>
    <w:rsid w:val="000D113F"/>
    <w:rsid w:val="000D4FBC"/>
    <w:rsid w:val="000D58D4"/>
    <w:rsid w:val="000E1CD6"/>
    <w:rsid w:val="000E428C"/>
    <w:rsid w:val="000E43EF"/>
    <w:rsid w:val="000E5932"/>
    <w:rsid w:val="000E65DF"/>
    <w:rsid w:val="000F35A7"/>
    <w:rsid w:val="000F4635"/>
    <w:rsid w:val="001005DF"/>
    <w:rsid w:val="00101276"/>
    <w:rsid w:val="00102BFF"/>
    <w:rsid w:val="00104756"/>
    <w:rsid w:val="001049B5"/>
    <w:rsid w:val="00105DA0"/>
    <w:rsid w:val="00106AAD"/>
    <w:rsid w:val="001074E3"/>
    <w:rsid w:val="0010757B"/>
    <w:rsid w:val="0010757D"/>
    <w:rsid w:val="00107643"/>
    <w:rsid w:val="00111AC4"/>
    <w:rsid w:val="00116673"/>
    <w:rsid w:val="00116C64"/>
    <w:rsid w:val="00117793"/>
    <w:rsid w:val="0012292D"/>
    <w:rsid w:val="00122DA9"/>
    <w:rsid w:val="00124527"/>
    <w:rsid w:val="00125D48"/>
    <w:rsid w:val="00126772"/>
    <w:rsid w:val="001328DC"/>
    <w:rsid w:val="00132F95"/>
    <w:rsid w:val="00134A0D"/>
    <w:rsid w:val="00135D43"/>
    <w:rsid w:val="00141D5E"/>
    <w:rsid w:val="00141F0E"/>
    <w:rsid w:val="00143DBE"/>
    <w:rsid w:val="001446FD"/>
    <w:rsid w:val="0014473C"/>
    <w:rsid w:val="00144F89"/>
    <w:rsid w:val="001455A1"/>
    <w:rsid w:val="00150434"/>
    <w:rsid w:val="00150CE7"/>
    <w:rsid w:val="00151294"/>
    <w:rsid w:val="001514B2"/>
    <w:rsid w:val="00155D7D"/>
    <w:rsid w:val="00157B59"/>
    <w:rsid w:val="001612D7"/>
    <w:rsid w:val="001628D3"/>
    <w:rsid w:val="00163F4C"/>
    <w:rsid w:val="00166D6E"/>
    <w:rsid w:val="00171966"/>
    <w:rsid w:val="00172A27"/>
    <w:rsid w:val="001731AE"/>
    <w:rsid w:val="00174153"/>
    <w:rsid w:val="00177317"/>
    <w:rsid w:val="00181D49"/>
    <w:rsid w:val="00183330"/>
    <w:rsid w:val="00183A07"/>
    <w:rsid w:val="00184AC8"/>
    <w:rsid w:val="001859C5"/>
    <w:rsid w:val="001913F9"/>
    <w:rsid w:val="001914CF"/>
    <w:rsid w:val="001945F7"/>
    <w:rsid w:val="001954B3"/>
    <w:rsid w:val="00195602"/>
    <w:rsid w:val="00197AEF"/>
    <w:rsid w:val="001A05DE"/>
    <w:rsid w:val="001A12E1"/>
    <w:rsid w:val="001A28B7"/>
    <w:rsid w:val="001A3B5B"/>
    <w:rsid w:val="001B06CC"/>
    <w:rsid w:val="001B3D5D"/>
    <w:rsid w:val="001B410A"/>
    <w:rsid w:val="001B4435"/>
    <w:rsid w:val="001B5A89"/>
    <w:rsid w:val="001B68F8"/>
    <w:rsid w:val="001C0CDB"/>
    <w:rsid w:val="001C1C4D"/>
    <w:rsid w:val="001C2695"/>
    <w:rsid w:val="001C3539"/>
    <w:rsid w:val="001C495D"/>
    <w:rsid w:val="001C56C8"/>
    <w:rsid w:val="001C6C8A"/>
    <w:rsid w:val="001C753E"/>
    <w:rsid w:val="001D0196"/>
    <w:rsid w:val="001D19C1"/>
    <w:rsid w:val="001D2050"/>
    <w:rsid w:val="001D21DF"/>
    <w:rsid w:val="001D6B75"/>
    <w:rsid w:val="001D7137"/>
    <w:rsid w:val="001D7BC7"/>
    <w:rsid w:val="001E0603"/>
    <w:rsid w:val="001E07F6"/>
    <w:rsid w:val="001E129D"/>
    <w:rsid w:val="001E186A"/>
    <w:rsid w:val="001E2A02"/>
    <w:rsid w:val="001E4EF0"/>
    <w:rsid w:val="001E5689"/>
    <w:rsid w:val="001E6E26"/>
    <w:rsid w:val="001E72E9"/>
    <w:rsid w:val="001F05E4"/>
    <w:rsid w:val="001F27BA"/>
    <w:rsid w:val="001F3C01"/>
    <w:rsid w:val="001F4546"/>
    <w:rsid w:val="001F51CA"/>
    <w:rsid w:val="001F631C"/>
    <w:rsid w:val="00201A4E"/>
    <w:rsid w:val="002046B8"/>
    <w:rsid w:val="00204B82"/>
    <w:rsid w:val="00204CAB"/>
    <w:rsid w:val="00204F4C"/>
    <w:rsid w:val="00205532"/>
    <w:rsid w:val="00207164"/>
    <w:rsid w:val="00207307"/>
    <w:rsid w:val="00207453"/>
    <w:rsid w:val="00211C15"/>
    <w:rsid w:val="00214B75"/>
    <w:rsid w:val="002162DB"/>
    <w:rsid w:val="00216756"/>
    <w:rsid w:val="00216EEA"/>
    <w:rsid w:val="0022021F"/>
    <w:rsid w:val="002207B4"/>
    <w:rsid w:val="00220BC4"/>
    <w:rsid w:val="00221432"/>
    <w:rsid w:val="00222A3E"/>
    <w:rsid w:val="00225F89"/>
    <w:rsid w:val="00227788"/>
    <w:rsid w:val="00231E97"/>
    <w:rsid w:val="0023424F"/>
    <w:rsid w:val="00236577"/>
    <w:rsid w:val="00237CB6"/>
    <w:rsid w:val="002452D7"/>
    <w:rsid w:val="00245E67"/>
    <w:rsid w:val="00251EB0"/>
    <w:rsid w:val="00255736"/>
    <w:rsid w:val="00257B7C"/>
    <w:rsid w:val="00261112"/>
    <w:rsid w:val="00262009"/>
    <w:rsid w:val="002633E4"/>
    <w:rsid w:val="002633FA"/>
    <w:rsid w:val="002635CB"/>
    <w:rsid w:val="00264099"/>
    <w:rsid w:val="00265AF7"/>
    <w:rsid w:val="00270111"/>
    <w:rsid w:val="002716B0"/>
    <w:rsid w:val="00273E00"/>
    <w:rsid w:val="00276FD9"/>
    <w:rsid w:val="00280F45"/>
    <w:rsid w:val="002827EA"/>
    <w:rsid w:val="00282C56"/>
    <w:rsid w:val="00285F4E"/>
    <w:rsid w:val="00286B13"/>
    <w:rsid w:val="00287F56"/>
    <w:rsid w:val="00290DFD"/>
    <w:rsid w:val="0029101B"/>
    <w:rsid w:val="002936E6"/>
    <w:rsid w:val="002968FF"/>
    <w:rsid w:val="00296AF4"/>
    <w:rsid w:val="002A015E"/>
    <w:rsid w:val="002A037C"/>
    <w:rsid w:val="002A0733"/>
    <w:rsid w:val="002A19CB"/>
    <w:rsid w:val="002A5914"/>
    <w:rsid w:val="002A67BF"/>
    <w:rsid w:val="002A7480"/>
    <w:rsid w:val="002B0953"/>
    <w:rsid w:val="002B13FE"/>
    <w:rsid w:val="002B1771"/>
    <w:rsid w:val="002B4F46"/>
    <w:rsid w:val="002B71D6"/>
    <w:rsid w:val="002C2581"/>
    <w:rsid w:val="002C46A7"/>
    <w:rsid w:val="002C4938"/>
    <w:rsid w:val="002C4E9E"/>
    <w:rsid w:val="002C6631"/>
    <w:rsid w:val="002C7039"/>
    <w:rsid w:val="002D0A9A"/>
    <w:rsid w:val="002D3755"/>
    <w:rsid w:val="002D4344"/>
    <w:rsid w:val="002D519E"/>
    <w:rsid w:val="002D62EC"/>
    <w:rsid w:val="002D7396"/>
    <w:rsid w:val="002E1938"/>
    <w:rsid w:val="002E1AF0"/>
    <w:rsid w:val="002E467D"/>
    <w:rsid w:val="002E4CF3"/>
    <w:rsid w:val="002E7D1F"/>
    <w:rsid w:val="002E7D2B"/>
    <w:rsid w:val="002F0537"/>
    <w:rsid w:val="002F1874"/>
    <w:rsid w:val="002F1F87"/>
    <w:rsid w:val="002F2F9D"/>
    <w:rsid w:val="002F30DE"/>
    <w:rsid w:val="002F3B77"/>
    <w:rsid w:val="002F4415"/>
    <w:rsid w:val="002F6513"/>
    <w:rsid w:val="00302DF7"/>
    <w:rsid w:val="00305397"/>
    <w:rsid w:val="00306F87"/>
    <w:rsid w:val="00307578"/>
    <w:rsid w:val="00311F98"/>
    <w:rsid w:val="003140DB"/>
    <w:rsid w:val="00314567"/>
    <w:rsid w:val="00316011"/>
    <w:rsid w:val="003178AC"/>
    <w:rsid w:val="00322DBB"/>
    <w:rsid w:val="003239DA"/>
    <w:rsid w:val="003247F2"/>
    <w:rsid w:val="0032669A"/>
    <w:rsid w:val="00332581"/>
    <w:rsid w:val="00332A15"/>
    <w:rsid w:val="00332AB5"/>
    <w:rsid w:val="00332E37"/>
    <w:rsid w:val="00334EA0"/>
    <w:rsid w:val="00335688"/>
    <w:rsid w:val="00335AF0"/>
    <w:rsid w:val="003371AE"/>
    <w:rsid w:val="00337B12"/>
    <w:rsid w:val="003401B2"/>
    <w:rsid w:val="003416DF"/>
    <w:rsid w:val="00342959"/>
    <w:rsid w:val="00342E02"/>
    <w:rsid w:val="00343AFC"/>
    <w:rsid w:val="0034415F"/>
    <w:rsid w:val="00345635"/>
    <w:rsid w:val="00347D6F"/>
    <w:rsid w:val="00350DB8"/>
    <w:rsid w:val="00350EB0"/>
    <w:rsid w:val="00353012"/>
    <w:rsid w:val="00353F7D"/>
    <w:rsid w:val="003552CD"/>
    <w:rsid w:val="00355FCF"/>
    <w:rsid w:val="003564BC"/>
    <w:rsid w:val="003573F7"/>
    <w:rsid w:val="00357889"/>
    <w:rsid w:val="003579C9"/>
    <w:rsid w:val="00361116"/>
    <w:rsid w:val="00361539"/>
    <w:rsid w:val="00363C09"/>
    <w:rsid w:val="00364A8B"/>
    <w:rsid w:val="00365BDC"/>
    <w:rsid w:val="003755EC"/>
    <w:rsid w:val="003758AC"/>
    <w:rsid w:val="00377065"/>
    <w:rsid w:val="00377E96"/>
    <w:rsid w:val="0038047F"/>
    <w:rsid w:val="00380AA0"/>
    <w:rsid w:val="00380DC3"/>
    <w:rsid w:val="00380E55"/>
    <w:rsid w:val="00380EA0"/>
    <w:rsid w:val="00381FDC"/>
    <w:rsid w:val="00386196"/>
    <w:rsid w:val="003866AF"/>
    <w:rsid w:val="00387E5A"/>
    <w:rsid w:val="00392465"/>
    <w:rsid w:val="00392AF6"/>
    <w:rsid w:val="003934F8"/>
    <w:rsid w:val="003943AF"/>
    <w:rsid w:val="00396148"/>
    <w:rsid w:val="00396FDA"/>
    <w:rsid w:val="0039745B"/>
    <w:rsid w:val="00397AE7"/>
    <w:rsid w:val="00397BAA"/>
    <w:rsid w:val="00397BBC"/>
    <w:rsid w:val="00397E0D"/>
    <w:rsid w:val="003A03DC"/>
    <w:rsid w:val="003A0763"/>
    <w:rsid w:val="003A0BD6"/>
    <w:rsid w:val="003A30D6"/>
    <w:rsid w:val="003A4F44"/>
    <w:rsid w:val="003B0640"/>
    <w:rsid w:val="003B23FE"/>
    <w:rsid w:val="003B26E4"/>
    <w:rsid w:val="003B5AA3"/>
    <w:rsid w:val="003C2107"/>
    <w:rsid w:val="003C3C70"/>
    <w:rsid w:val="003C5B26"/>
    <w:rsid w:val="003C6A0F"/>
    <w:rsid w:val="003C70CD"/>
    <w:rsid w:val="003D674C"/>
    <w:rsid w:val="003D6B19"/>
    <w:rsid w:val="003E2C8C"/>
    <w:rsid w:val="003E3E3A"/>
    <w:rsid w:val="003E3E7B"/>
    <w:rsid w:val="003E6293"/>
    <w:rsid w:val="003F038D"/>
    <w:rsid w:val="003F0BAF"/>
    <w:rsid w:val="003F1C73"/>
    <w:rsid w:val="003F3770"/>
    <w:rsid w:val="003F79EF"/>
    <w:rsid w:val="0040157C"/>
    <w:rsid w:val="00401FC6"/>
    <w:rsid w:val="004037A9"/>
    <w:rsid w:val="00403F09"/>
    <w:rsid w:val="00405C14"/>
    <w:rsid w:val="0040661F"/>
    <w:rsid w:val="004078B8"/>
    <w:rsid w:val="00410235"/>
    <w:rsid w:val="004116B4"/>
    <w:rsid w:val="004135A0"/>
    <w:rsid w:val="00414A1A"/>
    <w:rsid w:val="00415352"/>
    <w:rsid w:val="00416BE7"/>
    <w:rsid w:val="00417110"/>
    <w:rsid w:val="00422100"/>
    <w:rsid w:val="00425415"/>
    <w:rsid w:val="00426A3D"/>
    <w:rsid w:val="00430CF9"/>
    <w:rsid w:val="00430E84"/>
    <w:rsid w:val="004319CA"/>
    <w:rsid w:val="00431A5D"/>
    <w:rsid w:val="00431A87"/>
    <w:rsid w:val="00432173"/>
    <w:rsid w:val="004340A6"/>
    <w:rsid w:val="004344F0"/>
    <w:rsid w:val="00434684"/>
    <w:rsid w:val="004356A6"/>
    <w:rsid w:val="00436E41"/>
    <w:rsid w:val="00437898"/>
    <w:rsid w:val="00440760"/>
    <w:rsid w:val="0044101B"/>
    <w:rsid w:val="00441A19"/>
    <w:rsid w:val="00441E8A"/>
    <w:rsid w:val="00442E5E"/>
    <w:rsid w:val="00443ABB"/>
    <w:rsid w:val="00445CAB"/>
    <w:rsid w:val="0045112E"/>
    <w:rsid w:val="004513E6"/>
    <w:rsid w:val="00451E19"/>
    <w:rsid w:val="00451EF6"/>
    <w:rsid w:val="00452EB9"/>
    <w:rsid w:val="00454852"/>
    <w:rsid w:val="00454B20"/>
    <w:rsid w:val="0045672F"/>
    <w:rsid w:val="004579CF"/>
    <w:rsid w:val="00462D69"/>
    <w:rsid w:val="004637DB"/>
    <w:rsid w:val="004640E6"/>
    <w:rsid w:val="004648DB"/>
    <w:rsid w:val="004710EA"/>
    <w:rsid w:val="00471A5A"/>
    <w:rsid w:val="00472246"/>
    <w:rsid w:val="0047289C"/>
    <w:rsid w:val="00472D3D"/>
    <w:rsid w:val="004738B0"/>
    <w:rsid w:val="00474511"/>
    <w:rsid w:val="00474B84"/>
    <w:rsid w:val="004753BC"/>
    <w:rsid w:val="00475894"/>
    <w:rsid w:val="00475B41"/>
    <w:rsid w:val="004770F4"/>
    <w:rsid w:val="00482F7E"/>
    <w:rsid w:val="0048318D"/>
    <w:rsid w:val="00485192"/>
    <w:rsid w:val="004903CA"/>
    <w:rsid w:val="00491019"/>
    <w:rsid w:val="004914C1"/>
    <w:rsid w:val="00491BF8"/>
    <w:rsid w:val="00495737"/>
    <w:rsid w:val="00495D9B"/>
    <w:rsid w:val="00497C9C"/>
    <w:rsid w:val="004A09EF"/>
    <w:rsid w:val="004A0C50"/>
    <w:rsid w:val="004A124B"/>
    <w:rsid w:val="004A37B5"/>
    <w:rsid w:val="004A3905"/>
    <w:rsid w:val="004A6588"/>
    <w:rsid w:val="004A6640"/>
    <w:rsid w:val="004A6AE9"/>
    <w:rsid w:val="004A6CD9"/>
    <w:rsid w:val="004A7E90"/>
    <w:rsid w:val="004B00FD"/>
    <w:rsid w:val="004B28E2"/>
    <w:rsid w:val="004B3513"/>
    <w:rsid w:val="004B36C7"/>
    <w:rsid w:val="004B386E"/>
    <w:rsid w:val="004B3CED"/>
    <w:rsid w:val="004B5F6E"/>
    <w:rsid w:val="004B6063"/>
    <w:rsid w:val="004B64E8"/>
    <w:rsid w:val="004B697A"/>
    <w:rsid w:val="004B78BA"/>
    <w:rsid w:val="004C4977"/>
    <w:rsid w:val="004C517B"/>
    <w:rsid w:val="004D0A4D"/>
    <w:rsid w:val="004D1104"/>
    <w:rsid w:val="004D3181"/>
    <w:rsid w:val="004D31E3"/>
    <w:rsid w:val="004D69F2"/>
    <w:rsid w:val="004D775D"/>
    <w:rsid w:val="004E05AF"/>
    <w:rsid w:val="004E0F33"/>
    <w:rsid w:val="004E117F"/>
    <w:rsid w:val="004E3ACD"/>
    <w:rsid w:val="004E4713"/>
    <w:rsid w:val="004E5AF0"/>
    <w:rsid w:val="004F03E6"/>
    <w:rsid w:val="004F42A0"/>
    <w:rsid w:val="004F49A0"/>
    <w:rsid w:val="004F4AF3"/>
    <w:rsid w:val="004F528B"/>
    <w:rsid w:val="004F62EE"/>
    <w:rsid w:val="004F754D"/>
    <w:rsid w:val="004F75B9"/>
    <w:rsid w:val="004F776F"/>
    <w:rsid w:val="004F7853"/>
    <w:rsid w:val="004F7FE3"/>
    <w:rsid w:val="00500376"/>
    <w:rsid w:val="00500A14"/>
    <w:rsid w:val="00503914"/>
    <w:rsid w:val="00505267"/>
    <w:rsid w:val="00510919"/>
    <w:rsid w:val="0051302E"/>
    <w:rsid w:val="00517B2E"/>
    <w:rsid w:val="00517EEF"/>
    <w:rsid w:val="00520395"/>
    <w:rsid w:val="00520E65"/>
    <w:rsid w:val="00524264"/>
    <w:rsid w:val="005270D2"/>
    <w:rsid w:val="005332A0"/>
    <w:rsid w:val="00536BAA"/>
    <w:rsid w:val="00537641"/>
    <w:rsid w:val="00542CCB"/>
    <w:rsid w:val="005434FE"/>
    <w:rsid w:val="00543D3A"/>
    <w:rsid w:val="00544083"/>
    <w:rsid w:val="005453C8"/>
    <w:rsid w:val="00551616"/>
    <w:rsid w:val="00552969"/>
    <w:rsid w:val="00552E9B"/>
    <w:rsid w:val="00552FC8"/>
    <w:rsid w:val="0055439F"/>
    <w:rsid w:val="0055527F"/>
    <w:rsid w:val="00556B4D"/>
    <w:rsid w:val="005610CB"/>
    <w:rsid w:val="00563061"/>
    <w:rsid w:val="005647C8"/>
    <w:rsid w:val="0056516E"/>
    <w:rsid w:val="005666B0"/>
    <w:rsid w:val="0057131D"/>
    <w:rsid w:val="005731FD"/>
    <w:rsid w:val="0058050C"/>
    <w:rsid w:val="0058472C"/>
    <w:rsid w:val="0058500C"/>
    <w:rsid w:val="005900DB"/>
    <w:rsid w:val="00590A36"/>
    <w:rsid w:val="00594AF1"/>
    <w:rsid w:val="00594D59"/>
    <w:rsid w:val="005963A2"/>
    <w:rsid w:val="00596729"/>
    <w:rsid w:val="00597B66"/>
    <w:rsid w:val="005A04C6"/>
    <w:rsid w:val="005A1999"/>
    <w:rsid w:val="005A3F31"/>
    <w:rsid w:val="005A4438"/>
    <w:rsid w:val="005A4E14"/>
    <w:rsid w:val="005A64F6"/>
    <w:rsid w:val="005A6E7D"/>
    <w:rsid w:val="005B0735"/>
    <w:rsid w:val="005B13FE"/>
    <w:rsid w:val="005B560A"/>
    <w:rsid w:val="005B7DEF"/>
    <w:rsid w:val="005C0BFD"/>
    <w:rsid w:val="005C28E7"/>
    <w:rsid w:val="005C2AE9"/>
    <w:rsid w:val="005C3996"/>
    <w:rsid w:val="005C5091"/>
    <w:rsid w:val="005C6294"/>
    <w:rsid w:val="005C6FCE"/>
    <w:rsid w:val="005D1271"/>
    <w:rsid w:val="005D1EBB"/>
    <w:rsid w:val="005D5FA0"/>
    <w:rsid w:val="005D6C77"/>
    <w:rsid w:val="005D7779"/>
    <w:rsid w:val="005E0EEE"/>
    <w:rsid w:val="005E2892"/>
    <w:rsid w:val="005E3045"/>
    <w:rsid w:val="005E3EC1"/>
    <w:rsid w:val="005E4D43"/>
    <w:rsid w:val="005E722F"/>
    <w:rsid w:val="005F05BC"/>
    <w:rsid w:val="005F348F"/>
    <w:rsid w:val="005F401A"/>
    <w:rsid w:val="005F42EB"/>
    <w:rsid w:val="005F65FA"/>
    <w:rsid w:val="005F6CD9"/>
    <w:rsid w:val="00600E6E"/>
    <w:rsid w:val="006014F9"/>
    <w:rsid w:val="00602286"/>
    <w:rsid w:val="00603774"/>
    <w:rsid w:val="00605B70"/>
    <w:rsid w:val="00606F8B"/>
    <w:rsid w:val="006117CB"/>
    <w:rsid w:val="0061200B"/>
    <w:rsid w:val="00612837"/>
    <w:rsid w:val="00616B65"/>
    <w:rsid w:val="00617D34"/>
    <w:rsid w:val="0062377F"/>
    <w:rsid w:val="00624DD8"/>
    <w:rsid w:val="00627CE8"/>
    <w:rsid w:val="00627E7C"/>
    <w:rsid w:val="006315DA"/>
    <w:rsid w:val="00631678"/>
    <w:rsid w:val="00632CEB"/>
    <w:rsid w:val="00633EEB"/>
    <w:rsid w:val="00635ADA"/>
    <w:rsid w:val="006375A2"/>
    <w:rsid w:val="00637AAA"/>
    <w:rsid w:val="00641EFF"/>
    <w:rsid w:val="00643D4D"/>
    <w:rsid w:val="00644F76"/>
    <w:rsid w:val="00646826"/>
    <w:rsid w:val="00650655"/>
    <w:rsid w:val="006516F6"/>
    <w:rsid w:val="00651FA7"/>
    <w:rsid w:val="00655739"/>
    <w:rsid w:val="00655DB4"/>
    <w:rsid w:val="00657E25"/>
    <w:rsid w:val="006604CF"/>
    <w:rsid w:val="00661BBB"/>
    <w:rsid w:val="006621A5"/>
    <w:rsid w:val="00664E56"/>
    <w:rsid w:val="00665C96"/>
    <w:rsid w:val="006708AC"/>
    <w:rsid w:val="00672FC7"/>
    <w:rsid w:val="0067514E"/>
    <w:rsid w:val="006756AF"/>
    <w:rsid w:val="00675722"/>
    <w:rsid w:val="006761DB"/>
    <w:rsid w:val="00676DD7"/>
    <w:rsid w:val="00677592"/>
    <w:rsid w:val="0067792B"/>
    <w:rsid w:val="00677F24"/>
    <w:rsid w:val="00680A6C"/>
    <w:rsid w:val="0068137A"/>
    <w:rsid w:val="00681AA9"/>
    <w:rsid w:val="00681C25"/>
    <w:rsid w:val="00683460"/>
    <w:rsid w:val="0068418D"/>
    <w:rsid w:val="00685696"/>
    <w:rsid w:val="006861AB"/>
    <w:rsid w:val="006868CF"/>
    <w:rsid w:val="006903BA"/>
    <w:rsid w:val="00690B76"/>
    <w:rsid w:val="006913E5"/>
    <w:rsid w:val="00691417"/>
    <w:rsid w:val="006916B2"/>
    <w:rsid w:val="0069185C"/>
    <w:rsid w:val="00692430"/>
    <w:rsid w:val="00692BB5"/>
    <w:rsid w:val="0069331B"/>
    <w:rsid w:val="00693EE6"/>
    <w:rsid w:val="00695B9D"/>
    <w:rsid w:val="006964F8"/>
    <w:rsid w:val="006A1E01"/>
    <w:rsid w:val="006A5BBA"/>
    <w:rsid w:val="006A5DE0"/>
    <w:rsid w:val="006A7310"/>
    <w:rsid w:val="006B133E"/>
    <w:rsid w:val="006B224E"/>
    <w:rsid w:val="006B2A33"/>
    <w:rsid w:val="006B2B01"/>
    <w:rsid w:val="006B3493"/>
    <w:rsid w:val="006B481D"/>
    <w:rsid w:val="006B6268"/>
    <w:rsid w:val="006C2A7D"/>
    <w:rsid w:val="006C752F"/>
    <w:rsid w:val="006D19C2"/>
    <w:rsid w:val="006D3FCB"/>
    <w:rsid w:val="006D4A63"/>
    <w:rsid w:val="006E0927"/>
    <w:rsid w:val="006E2227"/>
    <w:rsid w:val="006E3939"/>
    <w:rsid w:val="006E4FFC"/>
    <w:rsid w:val="006E5859"/>
    <w:rsid w:val="006E7270"/>
    <w:rsid w:val="006F30C8"/>
    <w:rsid w:val="006F5D24"/>
    <w:rsid w:val="006F670C"/>
    <w:rsid w:val="006F6964"/>
    <w:rsid w:val="006F7930"/>
    <w:rsid w:val="006F7BF9"/>
    <w:rsid w:val="006F7C56"/>
    <w:rsid w:val="00700FC9"/>
    <w:rsid w:val="007023F3"/>
    <w:rsid w:val="00702EE9"/>
    <w:rsid w:val="00703A19"/>
    <w:rsid w:val="00704123"/>
    <w:rsid w:val="00706EDC"/>
    <w:rsid w:val="00706F5A"/>
    <w:rsid w:val="007074BB"/>
    <w:rsid w:val="00720FE7"/>
    <w:rsid w:val="0072197F"/>
    <w:rsid w:val="00721D78"/>
    <w:rsid w:val="00725951"/>
    <w:rsid w:val="00731600"/>
    <w:rsid w:val="00731DE0"/>
    <w:rsid w:val="007323A9"/>
    <w:rsid w:val="007358B7"/>
    <w:rsid w:val="007359CB"/>
    <w:rsid w:val="00736C98"/>
    <w:rsid w:val="00737077"/>
    <w:rsid w:val="0074068D"/>
    <w:rsid w:val="00741698"/>
    <w:rsid w:val="00742D65"/>
    <w:rsid w:val="0074515A"/>
    <w:rsid w:val="00745B02"/>
    <w:rsid w:val="00746526"/>
    <w:rsid w:val="0074696E"/>
    <w:rsid w:val="00747810"/>
    <w:rsid w:val="00751B58"/>
    <w:rsid w:val="00752259"/>
    <w:rsid w:val="00752367"/>
    <w:rsid w:val="00753C73"/>
    <w:rsid w:val="0075547E"/>
    <w:rsid w:val="007557A1"/>
    <w:rsid w:val="00755E88"/>
    <w:rsid w:val="007575F2"/>
    <w:rsid w:val="00757CCF"/>
    <w:rsid w:val="00760F63"/>
    <w:rsid w:val="007636B9"/>
    <w:rsid w:val="007642B5"/>
    <w:rsid w:val="00765666"/>
    <w:rsid w:val="00766E10"/>
    <w:rsid w:val="0077034E"/>
    <w:rsid w:val="00771E86"/>
    <w:rsid w:val="007735A9"/>
    <w:rsid w:val="00776595"/>
    <w:rsid w:val="0077765B"/>
    <w:rsid w:val="00783E34"/>
    <w:rsid w:val="0078428E"/>
    <w:rsid w:val="0078557D"/>
    <w:rsid w:val="00787DD0"/>
    <w:rsid w:val="007920BE"/>
    <w:rsid w:val="00792B3A"/>
    <w:rsid w:val="0079451A"/>
    <w:rsid w:val="0079548A"/>
    <w:rsid w:val="00795657"/>
    <w:rsid w:val="007A0860"/>
    <w:rsid w:val="007A0BEC"/>
    <w:rsid w:val="007A1ED8"/>
    <w:rsid w:val="007A25A4"/>
    <w:rsid w:val="007A279D"/>
    <w:rsid w:val="007A4247"/>
    <w:rsid w:val="007A482D"/>
    <w:rsid w:val="007A565B"/>
    <w:rsid w:val="007A5EC9"/>
    <w:rsid w:val="007A7320"/>
    <w:rsid w:val="007B059A"/>
    <w:rsid w:val="007B092E"/>
    <w:rsid w:val="007B09C3"/>
    <w:rsid w:val="007B0B10"/>
    <w:rsid w:val="007B0DFF"/>
    <w:rsid w:val="007B1CCD"/>
    <w:rsid w:val="007B25BC"/>
    <w:rsid w:val="007B260D"/>
    <w:rsid w:val="007B408F"/>
    <w:rsid w:val="007B448E"/>
    <w:rsid w:val="007B58C2"/>
    <w:rsid w:val="007B6044"/>
    <w:rsid w:val="007C1C81"/>
    <w:rsid w:val="007C4429"/>
    <w:rsid w:val="007C5CF5"/>
    <w:rsid w:val="007C6AEE"/>
    <w:rsid w:val="007D1613"/>
    <w:rsid w:val="007D26E5"/>
    <w:rsid w:val="007D2F4A"/>
    <w:rsid w:val="007D30EA"/>
    <w:rsid w:val="007D3257"/>
    <w:rsid w:val="007D3EAB"/>
    <w:rsid w:val="007D4CAF"/>
    <w:rsid w:val="007D729E"/>
    <w:rsid w:val="007D7482"/>
    <w:rsid w:val="007E58B4"/>
    <w:rsid w:val="007E6570"/>
    <w:rsid w:val="007E6F52"/>
    <w:rsid w:val="007F2FB2"/>
    <w:rsid w:val="007F4B43"/>
    <w:rsid w:val="007F601C"/>
    <w:rsid w:val="008000D9"/>
    <w:rsid w:val="00800BA1"/>
    <w:rsid w:val="008042FC"/>
    <w:rsid w:val="00804A83"/>
    <w:rsid w:val="00805812"/>
    <w:rsid w:val="00806626"/>
    <w:rsid w:val="00806A22"/>
    <w:rsid w:val="008105DF"/>
    <w:rsid w:val="00812F10"/>
    <w:rsid w:val="00817C79"/>
    <w:rsid w:val="00821AC3"/>
    <w:rsid w:val="00824CF8"/>
    <w:rsid w:val="00826696"/>
    <w:rsid w:val="00827C3A"/>
    <w:rsid w:val="0083240D"/>
    <w:rsid w:val="00837DCB"/>
    <w:rsid w:val="00840B7C"/>
    <w:rsid w:val="0084105F"/>
    <w:rsid w:val="0084202C"/>
    <w:rsid w:val="00843B98"/>
    <w:rsid w:val="00845098"/>
    <w:rsid w:val="00846667"/>
    <w:rsid w:val="00850EC4"/>
    <w:rsid w:val="00856527"/>
    <w:rsid w:val="0085763E"/>
    <w:rsid w:val="00857A37"/>
    <w:rsid w:val="00860492"/>
    <w:rsid w:val="0086159D"/>
    <w:rsid w:val="00862500"/>
    <w:rsid w:val="00862AC7"/>
    <w:rsid w:val="0086361B"/>
    <w:rsid w:val="00865DD5"/>
    <w:rsid w:val="00866D15"/>
    <w:rsid w:val="00867AAA"/>
    <w:rsid w:val="00873EA5"/>
    <w:rsid w:val="00874018"/>
    <w:rsid w:val="00874424"/>
    <w:rsid w:val="00875E37"/>
    <w:rsid w:val="00882487"/>
    <w:rsid w:val="008833A0"/>
    <w:rsid w:val="00886A96"/>
    <w:rsid w:val="00887CFA"/>
    <w:rsid w:val="00893985"/>
    <w:rsid w:val="008944E4"/>
    <w:rsid w:val="00894B91"/>
    <w:rsid w:val="008951BD"/>
    <w:rsid w:val="00896623"/>
    <w:rsid w:val="00897FCA"/>
    <w:rsid w:val="008A02FF"/>
    <w:rsid w:val="008A12FE"/>
    <w:rsid w:val="008A145C"/>
    <w:rsid w:val="008A2948"/>
    <w:rsid w:val="008A2B08"/>
    <w:rsid w:val="008A2FBD"/>
    <w:rsid w:val="008A33A4"/>
    <w:rsid w:val="008A4E5C"/>
    <w:rsid w:val="008A6A98"/>
    <w:rsid w:val="008B0B9B"/>
    <w:rsid w:val="008B1F3F"/>
    <w:rsid w:val="008B2B1C"/>
    <w:rsid w:val="008B37AC"/>
    <w:rsid w:val="008B6018"/>
    <w:rsid w:val="008B6B23"/>
    <w:rsid w:val="008B7A2E"/>
    <w:rsid w:val="008C0B7F"/>
    <w:rsid w:val="008C5095"/>
    <w:rsid w:val="008C5D16"/>
    <w:rsid w:val="008C6191"/>
    <w:rsid w:val="008C621E"/>
    <w:rsid w:val="008C6608"/>
    <w:rsid w:val="008C7C79"/>
    <w:rsid w:val="008D101D"/>
    <w:rsid w:val="008D326C"/>
    <w:rsid w:val="008D3698"/>
    <w:rsid w:val="008D471D"/>
    <w:rsid w:val="008D50D1"/>
    <w:rsid w:val="008D6D6D"/>
    <w:rsid w:val="008D7B31"/>
    <w:rsid w:val="008E142E"/>
    <w:rsid w:val="008E22A6"/>
    <w:rsid w:val="008E4956"/>
    <w:rsid w:val="008E5479"/>
    <w:rsid w:val="008E5779"/>
    <w:rsid w:val="008E731B"/>
    <w:rsid w:val="008F0546"/>
    <w:rsid w:val="008F19CE"/>
    <w:rsid w:val="008F1B0C"/>
    <w:rsid w:val="008F2F4A"/>
    <w:rsid w:val="008F4BB4"/>
    <w:rsid w:val="008F5ACC"/>
    <w:rsid w:val="008F61B0"/>
    <w:rsid w:val="009002D1"/>
    <w:rsid w:val="009062E5"/>
    <w:rsid w:val="00906AF2"/>
    <w:rsid w:val="009122AA"/>
    <w:rsid w:val="00912640"/>
    <w:rsid w:val="00912A4D"/>
    <w:rsid w:val="00913CD0"/>
    <w:rsid w:val="009147B7"/>
    <w:rsid w:val="00914CC2"/>
    <w:rsid w:val="009203EA"/>
    <w:rsid w:val="009212E1"/>
    <w:rsid w:val="009219BB"/>
    <w:rsid w:val="00922038"/>
    <w:rsid w:val="00930332"/>
    <w:rsid w:val="00931345"/>
    <w:rsid w:val="00932C2F"/>
    <w:rsid w:val="00934E2C"/>
    <w:rsid w:val="00935DAD"/>
    <w:rsid w:val="0093602C"/>
    <w:rsid w:val="0093613C"/>
    <w:rsid w:val="00936527"/>
    <w:rsid w:val="00943B6B"/>
    <w:rsid w:val="0094422B"/>
    <w:rsid w:val="009468E6"/>
    <w:rsid w:val="00952102"/>
    <w:rsid w:val="00955C1A"/>
    <w:rsid w:val="00955E1D"/>
    <w:rsid w:val="009565DA"/>
    <w:rsid w:val="0095685B"/>
    <w:rsid w:val="0095789E"/>
    <w:rsid w:val="00960F0C"/>
    <w:rsid w:val="00961559"/>
    <w:rsid w:val="00964611"/>
    <w:rsid w:val="00964AD7"/>
    <w:rsid w:val="00965184"/>
    <w:rsid w:val="00965D84"/>
    <w:rsid w:val="0096782C"/>
    <w:rsid w:val="009734B7"/>
    <w:rsid w:val="0097394D"/>
    <w:rsid w:val="00973D0A"/>
    <w:rsid w:val="00974275"/>
    <w:rsid w:val="009752B6"/>
    <w:rsid w:val="00983A3B"/>
    <w:rsid w:val="0098539B"/>
    <w:rsid w:val="00987405"/>
    <w:rsid w:val="0098746D"/>
    <w:rsid w:val="0099046B"/>
    <w:rsid w:val="009911CC"/>
    <w:rsid w:val="0099497B"/>
    <w:rsid w:val="009A06CC"/>
    <w:rsid w:val="009A1CF9"/>
    <w:rsid w:val="009A3CA1"/>
    <w:rsid w:val="009A4C1E"/>
    <w:rsid w:val="009A66CA"/>
    <w:rsid w:val="009A75AC"/>
    <w:rsid w:val="009A7662"/>
    <w:rsid w:val="009B315E"/>
    <w:rsid w:val="009B562D"/>
    <w:rsid w:val="009C1E4B"/>
    <w:rsid w:val="009C2E35"/>
    <w:rsid w:val="009C450B"/>
    <w:rsid w:val="009C4E44"/>
    <w:rsid w:val="009D1501"/>
    <w:rsid w:val="009D265A"/>
    <w:rsid w:val="009D3797"/>
    <w:rsid w:val="009D6ADF"/>
    <w:rsid w:val="009D6F42"/>
    <w:rsid w:val="009D7263"/>
    <w:rsid w:val="009D768F"/>
    <w:rsid w:val="009E037F"/>
    <w:rsid w:val="009E1A6C"/>
    <w:rsid w:val="009E1A98"/>
    <w:rsid w:val="009E1AD2"/>
    <w:rsid w:val="009E1B7B"/>
    <w:rsid w:val="009E3032"/>
    <w:rsid w:val="009E3C8A"/>
    <w:rsid w:val="009E425F"/>
    <w:rsid w:val="009F0851"/>
    <w:rsid w:val="009F29F7"/>
    <w:rsid w:val="009F4176"/>
    <w:rsid w:val="009F50F3"/>
    <w:rsid w:val="009F6E2B"/>
    <w:rsid w:val="00A0147E"/>
    <w:rsid w:val="00A02989"/>
    <w:rsid w:val="00A05800"/>
    <w:rsid w:val="00A060E1"/>
    <w:rsid w:val="00A069BB"/>
    <w:rsid w:val="00A10AB6"/>
    <w:rsid w:val="00A14091"/>
    <w:rsid w:val="00A14F04"/>
    <w:rsid w:val="00A20C2D"/>
    <w:rsid w:val="00A20CAB"/>
    <w:rsid w:val="00A21BAA"/>
    <w:rsid w:val="00A22A4E"/>
    <w:rsid w:val="00A262BF"/>
    <w:rsid w:val="00A270DC"/>
    <w:rsid w:val="00A270F3"/>
    <w:rsid w:val="00A27E23"/>
    <w:rsid w:val="00A31BCB"/>
    <w:rsid w:val="00A350E6"/>
    <w:rsid w:val="00A37174"/>
    <w:rsid w:val="00A40D44"/>
    <w:rsid w:val="00A425EF"/>
    <w:rsid w:val="00A42B1F"/>
    <w:rsid w:val="00A431FC"/>
    <w:rsid w:val="00A542C1"/>
    <w:rsid w:val="00A54EEF"/>
    <w:rsid w:val="00A5520A"/>
    <w:rsid w:val="00A65A53"/>
    <w:rsid w:val="00A66061"/>
    <w:rsid w:val="00A67D7E"/>
    <w:rsid w:val="00A715EE"/>
    <w:rsid w:val="00A717C0"/>
    <w:rsid w:val="00A71F79"/>
    <w:rsid w:val="00A7361B"/>
    <w:rsid w:val="00A745DC"/>
    <w:rsid w:val="00A74CE5"/>
    <w:rsid w:val="00A760AB"/>
    <w:rsid w:val="00A80046"/>
    <w:rsid w:val="00A801F1"/>
    <w:rsid w:val="00A80C19"/>
    <w:rsid w:val="00A80D2E"/>
    <w:rsid w:val="00A818BA"/>
    <w:rsid w:val="00A82286"/>
    <w:rsid w:val="00A83227"/>
    <w:rsid w:val="00A87A69"/>
    <w:rsid w:val="00A90ADE"/>
    <w:rsid w:val="00A90C9D"/>
    <w:rsid w:val="00A9181A"/>
    <w:rsid w:val="00A92CD1"/>
    <w:rsid w:val="00A934E5"/>
    <w:rsid w:val="00A959F9"/>
    <w:rsid w:val="00A96AF4"/>
    <w:rsid w:val="00AA1991"/>
    <w:rsid w:val="00AA241D"/>
    <w:rsid w:val="00AA531A"/>
    <w:rsid w:val="00AA57F8"/>
    <w:rsid w:val="00AA5CD7"/>
    <w:rsid w:val="00AA7008"/>
    <w:rsid w:val="00AA7D81"/>
    <w:rsid w:val="00AB1830"/>
    <w:rsid w:val="00AB2B8D"/>
    <w:rsid w:val="00AB3436"/>
    <w:rsid w:val="00AB5BA8"/>
    <w:rsid w:val="00AB5D3B"/>
    <w:rsid w:val="00AB6779"/>
    <w:rsid w:val="00AB6FC3"/>
    <w:rsid w:val="00AC0E9E"/>
    <w:rsid w:val="00AC3E2D"/>
    <w:rsid w:val="00AC3FAF"/>
    <w:rsid w:val="00AC77F9"/>
    <w:rsid w:val="00AC7C58"/>
    <w:rsid w:val="00AD11F9"/>
    <w:rsid w:val="00AD189F"/>
    <w:rsid w:val="00AD1ACD"/>
    <w:rsid w:val="00AD3EF4"/>
    <w:rsid w:val="00AD4A03"/>
    <w:rsid w:val="00AD608F"/>
    <w:rsid w:val="00AD636B"/>
    <w:rsid w:val="00AD7836"/>
    <w:rsid w:val="00AE08C0"/>
    <w:rsid w:val="00AE1489"/>
    <w:rsid w:val="00AE2712"/>
    <w:rsid w:val="00AE32AC"/>
    <w:rsid w:val="00AE3A3F"/>
    <w:rsid w:val="00AE46D9"/>
    <w:rsid w:val="00AE6AD9"/>
    <w:rsid w:val="00AF2166"/>
    <w:rsid w:val="00AF216D"/>
    <w:rsid w:val="00AF3489"/>
    <w:rsid w:val="00AF3E8D"/>
    <w:rsid w:val="00AF550E"/>
    <w:rsid w:val="00AF5761"/>
    <w:rsid w:val="00AF773D"/>
    <w:rsid w:val="00B00AB3"/>
    <w:rsid w:val="00B0250A"/>
    <w:rsid w:val="00B04DAB"/>
    <w:rsid w:val="00B06A8D"/>
    <w:rsid w:val="00B0726F"/>
    <w:rsid w:val="00B072B2"/>
    <w:rsid w:val="00B0756F"/>
    <w:rsid w:val="00B11216"/>
    <w:rsid w:val="00B12F2B"/>
    <w:rsid w:val="00B12FB0"/>
    <w:rsid w:val="00B1434E"/>
    <w:rsid w:val="00B15D52"/>
    <w:rsid w:val="00B20138"/>
    <w:rsid w:val="00B219EF"/>
    <w:rsid w:val="00B21A9F"/>
    <w:rsid w:val="00B222A2"/>
    <w:rsid w:val="00B22F5A"/>
    <w:rsid w:val="00B24314"/>
    <w:rsid w:val="00B24833"/>
    <w:rsid w:val="00B24B3B"/>
    <w:rsid w:val="00B273EB"/>
    <w:rsid w:val="00B27479"/>
    <w:rsid w:val="00B27E3D"/>
    <w:rsid w:val="00B31178"/>
    <w:rsid w:val="00B31AF5"/>
    <w:rsid w:val="00B31C60"/>
    <w:rsid w:val="00B32C12"/>
    <w:rsid w:val="00B3405D"/>
    <w:rsid w:val="00B4041A"/>
    <w:rsid w:val="00B41B0D"/>
    <w:rsid w:val="00B41DAF"/>
    <w:rsid w:val="00B446DC"/>
    <w:rsid w:val="00B4598F"/>
    <w:rsid w:val="00B51846"/>
    <w:rsid w:val="00B53015"/>
    <w:rsid w:val="00B546EF"/>
    <w:rsid w:val="00B603FA"/>
    <w:rsid w:val="00B62202"/>
    <w:rsid w:val="00B66E27"/>
    <w:rsid w:val="00B706BF"/>
    <w:rsid w:val="00B72194"/>
    <w:rsid w:val="00B7267F"/>
    <w:rsid w:val="00B73B84"/>
    <w:rsid w:val="00B74C83"/>
    <w:rsid w:val="00B750BC"/>
    <w:rsid w:val="00B777F6"/>
    <w:rsid w:val="00B77D13"/>
    <w:rsid w:val="00B77DA0"/>
    <w:rsid w:val="00B812D6"/>
    <w:rsid w:val="00B82F4B"/>
    <w:rsid w:val="00B849B3"/>
    <w:rsid w:val="00B85067"/>
    <w:rsid w:val="00B85ADA"/>
    <w:rsid w:val="00B867FB"/>
    <w:rsid w:val="00B868AA"/>
    <w:rsid w:val="00B90453"/>
    <w:rsid w:val="00B90D35"/>
    <w:rsid w:val="00B97B17"/>
    <w:rsid w:val="00BA0A33"/>
    <w:rsid w:val="00BA22E9"/>
    <w:rsid w:val="00BA4A0B"/>
    <w:rsid w:val="00BA689F"/>
    <w:rsid w:val="00BB04E8"/>
    <w:rsid w:val="00BB239B"/>
    <w:rsid w:val="00BB2908"/>
    <w:rsid w:val="00BB2EC8"/>
    <w:rsid w:val="00BB36DE"/>
    <w:rsid w:val="00BB3814"/>
    <w:rsid w:val="00BB3B9E"/>
    <w:rsid w:val="00BB4311"/>
    <w:rsid w:val="00BB574B"/>
    <w:rsid w:val="00BB5DBD"/>
    <w:rsid w:val="00BB613C"/>
    <w:rsid w:val="00BB6BC9"/>
    <w:rsid w:val="00BC00D4"/>
    <w:rsid w:val="00BC071D"/>
    <w:rsid w:val="00BC196C"/>
    <w:rsid w:val="00BC1C1E"/>
    <w:rsid w:val="00BC23D2"/>
    <w:rsid w:val="00BC2872"/>
    <w:rsid w:val="00BC2F8D"/>
    <w:rsid w:val="00BC3A68"/>
    <w:rsid w:val="00BC5991"/>
    <w:rsid w:val="00BD03CA"/>
    <w:rsid w:val="00BD0808"/>
    <w:rsid w:val="00BD0CA1"/>
    <w:rsid w:val="00BD0E3E"/>
    <w:rsid w:val="00BD2238"/>
    <w:rsid w:val="00BD3469"/>
    <w:rsid w:val="00BD3651"/>
    <w:rsid w:val="00BD56EC"/>
    <w:rsid w:val="00BD596F"/>
    <w:rsid w:val="00BE0DCD"/>
    <w:rsid w:val="00BE2F39"/>
    <w:rsid w:val="00BE3BFA"/>
    <w:rsid w:val="00BE48CE"/>
    <w:rsid w:val="00BE76D1"/>
    <w:rsid w:val="00BF05A0"/>
    <w:rsid w:val="00BF0B5A"/>
    <w:rsid w:val="00BF2428"/>
    <w:rsid w:val="00BF3D4A"/>
    <w:rsid w:val="00BF43B6"/>
    <w:rsid w:val="00BF4790"/>
    <w:rsid w:val="00BF6A0D"/>
    <w:rsid w:val="00C02AB3"/>
    <w:rsid w:val="00C03206"/>
    <w:rsid w:val="00C0413B"/>
    <w:rsid w:val="00C04851"/>
    <w:rsid w:val="00C077BF"/>
    <w:rsid w:val="00C108AB"/>
    <w:rsid w:val="00C14CC6"/>
    <w:rsid w:val="00C16EF6"/>
    <w:rsid w:val="00C2140B"/>
    <w:rsid w:val="00C24D89"/>
    <w:rsid w:val="00C261AC"/>
    <w:rsid w:val="00C308F4"/>
    <w:rsid w:val="00C30ADB"/>
    <w:rsid w:val="00C3210B"/>
    <w:rsid w:val="00C32DBC"/>
    <w:rsid w:val="00C35688"/>
    <w:rsid w:val="00C3733A"/>
    <w:rsid w:val="00C42067"/>
    <w:rsid w:val="00C429B7"/>
    <w:rsid w:val="00C447D2"/>
    <w:rsid w:val="00C45A1E"/>
    <w:rsid w:val="00C473B5"/>
    <w:rsid w:val="00C47D77"/>
    <w:rsid w:val="00C50557"/>
    <w:rsid w:val="00C51BC8"/>
    <w:rsid w:val="00C533D5"/>
    <w:rsid w:val="00C53844"/>
    <w:rsid w:val="00C56A2D"/>
    <w:rsid w:val="00C6194C"/>
    <w:rsid w:val="00C65357"/>
    <w:rsid w:val="00C66DF2"/>
    <w:rsid w:val="00C7205E"/>
    <w:rsid w:val="00C72206"/>
    <w:rsid w:val="00C7274E"/>
    <w:rsid w:val="00C735FB"/>
    <w:rsid w:val="00C73CFE"/>
    <w:rsid w:val="00C74A79"/>
    <w:rsid w:val="00C77087"/>
    <w:rsid w:val="00C776D5"/>
    <w:rsid w:val="00C77A99"/>
    <w:rsid w:val="00C806C0"/>
    <w:rsid w:val="00C80A5B"/>
    <w:rsid w:val="00C810C4"/>
    <w:rsid w:val="00C82048"/>
    <w:rsid w:val="00C822C3"/>
    <w:rsid w:val="00C8304F"/>
    <w:rsid w:val="00C84B6C"/>
    <w:rsid w:val="00C85B2A"/>
    <w:rsid w:val="00C85C4A"/>
    <w:rsid w:val="00C908AA"/>
    <w:rsid w:val="00C9107D"/>
    <w:rsid w:val="00C919EA"/>
    <w:rsid w:val="00C91A89"/>
    <w:rsid w:val="00C924B2"/>
    <w:rsid w:val="00C925EE"/>
    <w:rsid w:val="00C93B69"/>
    <w:rsid w:val="00C95209"/>
    <w:rsid w:val="00C97072"/>
    <w:rsid w:val="00CA1300"/>
    <w:rsid w:val="00CA1657"/>
    <w:rsid w:val="00CA1DBE"/>
    <w:rsid w:val="00CA5492"/>
    <w:rsid w:val="00CA6EC9"/>
    <w:rsid w:val="00CA7683"/>
    <w:rsid w:val="00CA78B3"/>
    <w:rsid w:val="00CB225A"/>
    <w:rsid w:val="00CB45E9"/>
    <w:rsid w:val="00CB4EC7"/>
    <w:rsid w:val="00CC0F8B"/>
    <w:rsid w:val="00CC11AD"/>
    <w:rsid w:val="00CC1400"/>
    <w:rsid w:val="00CC4059"/>
    <w:rsid w:val="00CC78B9"/>
    <w:rsid w:val="00CC7C7D"/>
    <w:rsid w:val="00CD0118"/>
    <w:rsid w:val="00CD2FB2"/>
    <w:rsid w:val="00CD359F"/>
    <w:rsid w:val="00CD4E90"/>
    <w:rsid w:val="00CD5097"/>
    <w:rsid w:val="00CD6532"/>
    <w:rsid w:val="00CD75F2"/>
    <w:rsid w:val="00CE1094"/>
    <w:rsid w:val="00CE1E43"/>
    <w:rsid w:val="00CE2BC5"/>
    <w:rsid w:val="00CE3F36"/>
    <w:rsid w:val="00CE4295"/>
    <w:rsid w:val="00CE4906"/>
    <w:rsid w:val="00CE62B6"/>
    <w:rsid w:val="00CF29D8"/>
    <w:rsid w:val="00CF301C"/>
    <w:rsid w:val="00CF42D4"/>
    <w:rsid w:val="00CF44D4"/>
    <w:rsid w:val="00CF4842"/>
    <w:rsid w:val="00CF699C"/>
    <w:rsid w:val="00D00904"/>
    <w:rsid w:val="00D00F74"/>
    <w:rsid w:val="00D059A9"/>
    <w:rsid w:val="00D07590"/>
    <w:rsid w:val="00D103F7"/>
    <w:rsid w:val="00D133D9"/>
    <w:rsid w:val="00D13569"/>
    <w:rsid w:val="00D149BF"/>
    <w:rsid w:val="00D20091"/>
    <w:rsid w:val="00D20F00"/>
    <w:rsid w:val="00D24955"/>
    <w:rsid w:val="00D262F0"/>
    <w:rsid w:val="00D30865"/>
    <w:rsid w:val="00D31CC0"/>
    <w:rsid w:val="00D32967"/>
    <w:rsid w:val="00D33E33"/>
    <w:rsid w:val="00D3557A"/>
    <w:rsid w:val="00D35FA7"/>
    <w:rsid w:val="00D3780F"/>
    <w:rsid w:val="00D379FC"/>
    <w:rsid w:val="00D40846"/>
    <w:rsid w:val="00D4235C"/>
    <w:rsid w:val="00D42BEB"/>
    <w:rsid w:val="00D43550"/>
    <w:rsid w:val="00D439B6"/>
    <w:rsid w:val="00D44908"/>
    <w:rsid w:val="00D46240"/>
    <w:rsid w:val="00D46B3D"/>
    <w:rsid w:val="00D47F4A"/>
    <w:rsid w:val="00D5052E"/>
    <w:rsid w:val="00D50F22"/>
    <w:rsid w:val="00D51BF2"/>
    <w:rsid w:val="00D51DEE"/>
    <w:rsid w:val="00D54941"/>
    <w:rsid w:val="00D55E7F"/>
    <w:rsid w:val="00D55FA1"/>
    <w:rsid w:val="00D5717E"/>
    <w:rsid w:val="00D57E4B"/>
    <w:rsid w:val="00D60955"/>
    <w:rsid w:val="00D60CE4"/>
    <w:rsid w:val="00D6237A"/>
    <w:rsid w:val="00D625CD"/>
    <w:rsid w:val="00D625FC"/>
    <w:rsid w:val="00D64AFB"/>
    <w:rsid w:val="00D650EC"/>
    <w:rsid w:val="00D66970"/>
    <w:rsid w:val="00D6699A"/>
    <w:rsid w:val="00D672DD"/>
    <w:rsid w:val="00D70B2A"/>
    <w:rsid w:val="00D7622A"/>
    <w:rsid w:val="00D778B0"/>
    <w:rsid w:val="00D82175"/>
    <w:rsid w:val="00D84E43"/>
    <w:rsid w:val="00D90E52"/>
    <w:rsid w:val="00D91909"/>
    <w:rsid w:val="00D92A0E"/>
    <w:rsid w:val="00D9397C"/>
    <w:rsid w:val="00D93FEE"/>
    <w:rsid w:val="00D9459D"/>
    <w:rsid w:val="00D946EC"/>
    <w:rsid w:val="00D95D2C"/>
    <w:rsid w:val="00D96954"/>
    <w:rsid w:val="00D96E0A"/>
    <w:rsid w:val="00DA0735"/>
    <w:rsid w:val="00DA1C90"/>
    <w:rsid w:val="00DA3249"/>
    <w:rsid w:val="00DA477B"/>
    <w:rsid w:val="00DA4F70"/>
    <w:rsid w:val="00DA6257"/>
    <w:rsid w:val="00DA6972"/>
    <w:rsid w:val="00DA69F0"/>
    <w:rsid w:val="00DB4B44"/>
    <w:rsid w:val="00DB5B2A"/>
    <w:rsid w:val="00DB6324"/>
    <w:rsid w:val="00DB65BC"/>
    <w:rsid w:val="00DC0207"/>
    <w:rsid w:val="00DC1F41"/>
    <w:rsid w:val="00DC236B"/>
    <w:rsid w:val="00DC2C0F"/>
    <w:rsid w:val="00DC55EF"/>
    <w:rsid w:val="00DC5BFF"/>
    <w:rsid w:val="00DD0C64"/>
    <w:rsid w:val="00DD1BEF"/>
    <w:rsid w:val="00DD5F90"/>
    <w:rsid w:val="00DD79B7"/>
    <w:rsid w:val="00DE04A2"/>
    <w:rsid w:val="00DE123B"/>
    <w:rsid w:val="00DE194B"/>
    <w:rsid w:val="00DE1AC5"/>
    <w:rsid w:val="00DE1B41"/>
    <w:rsid w:val="00DE1D8A"/>
    <w:rsid w:val="00DE478D"/>
    <w:rsid w:val="00DE5398"/>
    <w:rsid w:val="00DE66F1"/>
    <w:rsid w:val="00DE6CA5"/>
    <w:rsid w:val="00DF0988"/>
    <w:rsid w:val="00DF1C3C"/>
    <w:rsid w:val="00DF1D35"/>
    <w:rsid w:val="00DF1F1B"/>
    <w:rsid w:val="00DF2028"/>
    <w:rsid w:val="00DF21CB"/>
    <w:rsid w:val="00E00F9B"/>
    <w:rsid w:val="00E013B1"/>
    <w:rsid w:val="00E015E8"/>
    <w:rsid w:val="00E035D4"/>
    <w:rsid w:val="00E04DA9"/>
    <w:rsid w:val="00E0502B"/>
    <w:rsid w:val="00E10C7C"/>
    <w:rsid w:val="00E1428E"/>
    <w:rsid w:val="00E1436D"/>
    <w:rsid w:val="00E1440C"/>
    <w:rsid w:val="00E158D5"/>
    <w:rsid w:val="00E20E4F"/>
    <w:rsid w:val="00E20F3F"/>
    <w:rsid w:val="00E21D1C"/>
    <w:rsid w:val="00E21E43"/>
    <w:rsid w:val="00E21F84"/>
    <w:rsid w:val="00E23FEC"/>
    <w:rsid w:val="00E248C9"/>
    <w:rsid w:val="00E2702F"/>
    <w:rsid w:val="00E30F80"/>
    <w:rsid w:val="00E310B3"/>
    <w:rsid w:val="00E33F21"/>
    <w:rsid w:val="00E348C2"/>
    <w:rsid w:val="00E4019C"/>
    <w:rsid w:val="00E42802"/>
    <w:rsid w:val="00E43862"/>
    <w:rsid w:val="00E44A2E"/>
    <w:rsid w:val="00E44D29"/>
    <w:rsid w:val="00E45DDD"/>
    <w:rsid w:val="00E47EF2"/>
    <w:rsid w:val="00E51A61"/>
    <w:rsid w:val="00E51EE0"/>
    <w:rsid w:val="00E53955"/>
    <w:rsid w:val="00E54B26"/>
    <w:rsid w:val="00E55C71"/>
    <w:rsid w:val="00E561D3"/>
    <w:rsid w:val="00E600BB"/>
    <w:rsid w:val="00E6071F"/>
    <w:rsid w:val="00E60E17"/>
    <w:rsid w:val="00E62178"/>
    <w:rsid w:val="00E62185"/>
    <w:rsid w:val="00E6302A"/>
    <w:rsid w:val="00E63D58"/>
    <w:rsid w:val="00E6514E"/>
    <w:rsid w:val="00E65DC7"/>
    <w:rsid w:val="00E678DD"/>
    <w:rsid w:val="00E70D0A"/>
    <w:rsid w:val="00E71852"/>
    <w:rsid w:val="00E73E7D"/>
    <w:rsid w:val="00E76654"/>
    <w:rsid w:val="00E80AAB"/>
    <w:rsid w:val="00E82282"/>
    <w:rsid w:val="00E8459E"/>
    <w:rsid w:val="00E845F2"/>
    <w:rsid w:val="00E86BAC"/>
    <w:rsid w:val="00E92276"/>
    <w:rsid w:val="00E928F4"/>
    <w:rsid w:val="00E93383"/>
    <w:rsid w:val="00E96DEF"/>
    <w:rsid w:val="00E96EF5"/>
    <w:rsid w:val="00E97E3C"/>
    <w:rsid w:val="00EA07EA"/>
    <w:rsid w:val="00EA1E37"/>
    <w:rsid w:val="00EA305F"/>
    <w:rsid w:val="00EA40F4"/>
    <w:rsid w:val="00EA5192"/>
    <w:rsid w:val="00EA5A9D"/>
    <w:rsid w:val="00EB1ECF"/>
    <w:rsid w:val="00EB55DE"/>
    <w:rsid w:val="00EC1345"/>
    <w:rsid w:val="00EC3AF2"/>
    <w:rsid w:val="00EC3B20"/>
    <w:rsid w:val="00EC4E18"/>
    <w:rsid w:val="00EC5AE2"/>
    <w:rsid w:val="00ED2931"/>
    <w:rsid w:val="00ED3D63"/>
    <w:rsid w:val="00ED5304"/>
    <w:rsid w:val="00ED58A6"/>
    <w:rsid w:val="00ED5C45"/>
    <w:rsid w:val="00ED63FC"/>
    <w:rsid w:val="00ED7EA1"/>
    <w:rsid w:val="00EE0FFF"/>
    <w:rsid w:val="00EE377A"/>
    <w:rsid w:val="00EE4ECC"/>
    <w:rsid w:val="00EE7413"/>
    <w:rsid w:val="00EF09EF"/>
    <w:rsid w:val="00EF17D7"/>
    <w:rsid w:val="00EF39F3"/>
    <w:rsid w:val="00EF4303"/>
    <w:rsid w:val="00EF4324"/>
    <w:rsid w:val="00EF49AB"/>
    <w:rsid w:val="00EF57C3"/>
    <w:rsid w:val="00EF581C"/>
    <w:rsid w:val="00EF6C06"/>
    <w:rsid w:val="00EF6C5C"/>
    <w:rsid w:val="00F0418D"/>
    <w:rsid w:val="00F04AC7"/>
    <w:rsid w:val="00F06995"/>
    <w:rsid w:val="00F06DCD"/>
    <w:rsid w:val="00F136DB"/>
    <w:rsid w:val="00F14741"/>
    <w:rsid w:val="00F147C0"/>
    <w:rsid w:val="00F14AF4"/>
    <w:rsid w:val="00F16C26"/>
    <w:rsid w:val="00F16D66"/>
    <w:rsid w:val="00F20382"/>
    <w:rsid w:val="00F22808"/>
    <w:rsid w:val="00F22F43"/>
    <w:rsid w:val="00F25E41"/>
    <w:rsid w:val="00F26554"/>
    <w:rsid w:val="00F273C2"/>
    <w:rsid w:val="00F30A0C"/>
    <w:rsid w:val="00F3175F"/>
    <w:rsid w:val="00F31E55"/>
    <w:rsid w:val="00F3487B"/>
    <w:rsid w:val="00F40478"/>
    <w:rsid w:val="00F40F32"/>
    <w:rsid w:val="00F41147"/>
    <w:rsid w:val="00F42A36"/>
    <w:rsid w:val="00F43DF2"/>
    <w:rsid w:val="00F50121"/>
    <w:rsid w:val="00F51966"/>
    <w:rsid w:val="00F52983"/>
    <w:rsid w:val="00F55278"/>
    <w:rsid w:val="00F55E55"/>
    <w:rsid w:val="00F57990"/>
    <w:rsid w:val="00F60F6C"/>
    <w:rsid w:val="00F665CB"/>
    <w:rsid w:val="00F66C56"/>
    <w:rsid w:val="00F67900"/>
    <w:rsid w:val="00F70FCE"/>
    <w:rsid w:val="00F73171"/>
    <w:rsid w:val="00F74E58"/>
    <w:rsid w:val="00F75DCB"/>
    <w:rsid w:val="00F77A30"/>
    <w:rsid w:val="00F80CD4"/>
    <w:rsid w:val="00F8243A"/>
    <w:rsid w:val="00F83565"/>
    <w:rsid w:val="00F84EF2"/>
    <w:rsid w:val="00F85067"/>
    <w:rsid w:val="00F867CD"/>
    <w:rsid w:val="00F87D78"/>
    <w:rsid w:val="00F91631"/>
    <w:rsid w:val="00F91C98"/>
    <w:rsid w:val="00F95363"/>
    <w:rsid w:val="00F95CE9"/>
    <w:rsid w:val="00F960F6"/>
    <w:rsid w:val="00F961AD"/>
    <w:rsid w:val="00F9669D"/>
    <w:rsid w:val="00FA00E5"/>
    <w:rsid w:val="00FA0B19"/>
    <w:rsid w:val="00FB0FF0"/>
    <w:rsid w:val="00FB7695"/>
    <w:rsid w:val="00FC17AE"/>
    <w:rsid w:val="00FC6129"/>
    <w:rsid w:val="00FC66CC"/>
    <w:rsid w:val="00FC6CDC"/>
    <w:rsid w:val="00FC6E8B"/>
    <w:rsid w:val="00FC753B"/>
    <w:rsid w:val="00FC799A"/>
    <w:rsid w:val="00FD1C68"/>
    <w:rsid w:val="00FD2139"/>
    <w:rsid w:val="00FD219D"/>
    <w:rsid w:val="00FD25AB"/>
    <w:rsid w:val="00FD31CB"/>
    <w:rsid w:val="00FD625B"/>
    <w:rsid w:val="00FD6819"/>
    <w:rsid w:val="00FD6E8E"/>
    <w:rsid w:val="00FD77AD"/>
    <w:rsid w:val="00FD78C5"/>
    <w:rsid w:val="00FD7D1B"/>
    <w:rsid w:val="00FE1974"/>
    <w:rsid w:val="00FE1F99"/>
    <w:rsid w:val="00FE2A78"/>
    <w:rsid w:val="00FE4B41"/>
    <w:rsid w:val="00FE5A2A"/>
    <w:rsid w:val="00FE7618"/>
    <w:rsid w:val="00FF00CC"/>
    <w:rsid w:val="00FF145D"/>
    <w:rsid w:val="00FF1BF9"/>
    <w:rsid w:val="00FF1ECE"/>
    <w:rsid w:val="00FF3309"/>
    <w:rsid w:val="00FF35E0"/>
    <w:rsid w:val="00FF3799"/>
    <w:rsid w:val="00FF4B2F"/>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A10C5D"/>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8203BB"/>
    <w:rsid w:val="3F8541E2"/>
    <w:rsid w:val="3FCD337F"/>
    <w:rsid w:val="3FFB2AE5"/>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7A34E7"/>
    <w:rsid w:val="5BC519A7"/>
    <w:rsid w:val="5BC9699E"/>
    <w:rsid w:val="5C3603ED"/>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9600F6"/>
    <w:rsid w:val="5FDC5DC5"/>
    <w:rsid w:val="5FE06E9B"/>
    <w:rsid w:val="5FF9445A"/>
    <w:rsid w:val="60B12927"/>
    <w:rsid w:val="60CE5A28"/>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DC027F"/>
    <w:rsid w:val="6EFC1923"/>
    <w:rsid w:val="6FCE6B42"/>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66F52AB"/>
    <w:rsid w:val="76A41FCD"/>
    <w:rsid w:val="76AA7277"/>
    <w:rsid w:val="76BFAA99"/>
    <w:rsid w:val="76CE772B"/>
    <w:rsid w:val="770C1455"/>
    <w:rsid w:val="774B4AF0"/>
    <w:rsid w:val="77575059"/>
    <w:rsid w:val="778046CF"/>
    <w:rsid w:val="7785178F"/>
    <w:rsid w:val="77D6DA2A"/>
    <w:rsid w:val="77E96706"/>
    <w:rsid w:val="77ED88D4"/>
    <w:rsid w:val="77FF1FA5"/>
    <w:rsid w:val="78CF1029"/>
    <w:rsid w:val="796545C6"/>
    <w:rsid w:val="79833E44"/>
    <w:rsid w:val="79A22C1B"/>
    <w:rsid w:val="79D070CD"/>
    <w:rsid w:val="79D34699"/>
    <w:rsid w:val="79F42E66"/>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E11270A"/>
    <w:rsid w:val="7E15060D"/>
    <w:rsid w:val="7E285309"/>
    <w:rsid w:val="7E3408C2"/>
    <w:rsid w:val="7F192832"/>
    <w:rsid w:val="7F3BDD90"/>
    <w:rsid w:val="7F3F6BF0"/>
    <w:rsid w:val="7F7728BF"/>
    <w:rsid w:val="7F77898F"/>
    <w:rsid w:val="7FA8D8F8"/>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80A45"/>
  <w15:docId w15:val="{0803BAB4-1F96-47D9-8311-2951EE0CE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7D1F"/>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22">
    <w:name w:val="修订2"/>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0Maintext">
    <w:name w:val="0 Main text"/>
    <w:basedOn w:val="a"/>
    <w:qFormat/>
    <w:pPr>
      <w:spacing w:after="0" w:line="240" w:lineRule="auto"/>
      <w:jc w:val="both"/>
    </w:pPr>
    <w:rPr>
      <w:rFonts w:ascii="Times New Roman" w:eastAsia="Malgun Gothic" w:hAnsi="Times New Roman" w:cs="Times New Roman"/>
      <w:sz w:val="24"/>
      <w:szCs w:val="24"/>
    </w:rPr>
  </w:style>
  <w:style w:type="paragraph" w:customStyle="1" w:styleId="11">
    <w:name w:val="列表段落1"/>
    <w:basedOn w:val="a"/>
    <w:qFormat/>
    <w:pPr>
      <w:spacing w:before="100" w:beforeAutospacing="1" w:after="100" w:afterAutospacing="1" w:line="240" w:lineRule="auto"/>
      <w:ind w:leftChars="400" w:left="840"/>
    </w:pPr>
    <w:rPr>
      <w:rFonts w:ascii="Times" w:eastAsia="Batang" w:hAnsi="Times" w:cs="Times New Roman"/>
      <w:sz w:val="24"/>
      <w:szCs w:val="24"/>
    </w:rPr>
  </w:style>
  <w:style w:type="paragraph" w:customStyle="1" w:styleId="LGTdoc1">
    <w:name w:val="LGTdoc_제목1"/>
    <w:basedOn w:val="a"/>
    <w:rsid w:val="00C30ADB"/>
    <w:pPr>
      <w:adjustRightInd w:val="0"/>
      <w:snapToGrid w:val="0"/>
      <w:spacing w:beforeLines="50" w:after="100" w:afterAutospacing="1" w:line="240" w:lineRule="auto"/>
      <w:jc w:val="both"/>
    </w:pPr>
    <w:rPr>
      <w:rFonts w:ascii="Times New Roman" w:eastAsia="宋体"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003462">
      <w:bodyDiv w:val="1"/>
      <w:marLeft w:val="0"/>
      <w:marRight w:val="0"/>
      <w:marTop w:val="0"/>
      <w:marBottom w:val="0"/>
      <w:divBdr>
        <w:top w:val="none" w:sz="0" w:space="0" w:color="auto"/>
        <w:left w:val="none" w:sz="0" w:space="0" w:color="auto"/>
        <w:bottom w:val="none" w:sz="0" w:space="0" w:color="auto"/>
        <w:right w:val="none" w:sz="0" w:space="0" w:color="auto"/>
      </w:divBdr>
    </w:div>
    <w:div w:id="257062574">
      <w:bodyDiv w:val="1"/>
      <w:marLeft w:val="0"/>
      <w:marRight w:val="0"/>
      <w:marTop w:val="0"/>
      <w:marBottom w:val="0"/>
      <w:divBdr>
        <w:top w:val="none" w:sz="0" w:space="0" w:color="auto"/>
        <w:left w:val="none" w:sz="0" w:space="0" w:color="auto"/>
        <w:bottom w:val="none" w:sz="0" w:space="0" w:color="auto"/>
        <w:right w:val="none" w:sz="0" w:space="0" w:color="auto"/>
      </w:divBdr>
    </w:div>
    <w:div w:id="583152948">
      <w:bodyDiv w:val="1"/>
      <w:marLeft w:val="0"/>
      <w:marRight w:val="0"/>
      <w:marTop w:val="0"/>
      <w:marBottom w:val="0"/>
      <w:divBdr>
        <w:top w:val="none" w:sz="0" w:space="0" w:color="auto"/>
        <w:left w:val="none" w:sz="0" w:space="0" w:color="auto"/>
        <w:bottom w:val="none" w:sz="0" w:space="0" w:color="auto"/>
        <w:right w:val="none" w:sz="0" w:space="0" w:color="auto"/>
      </w:divBdr>
    </w:div>
    <w:div w:id="593979055">
      <w:bodyDiv w:val="1"/>
      <w:marLeft w:val="0"/>
      <w:marRight w:val="0"/>
      <w:marTop w:val="0"/>
      <w:marBottom w:val="0"/>
      <w:divBdr>
        <w:top w:val="none" w:sz="0" w:space="0" w:color="auto"/>
        <w:left w:val="none" w:sz="0" w:space="0" w:color="auto"/>
        <w:bottom w:val="none" w:sz="0" w:space="0" w:color="auto"/>
        <w:right w:val="none" w:sz="0" w:space="0" w:color="auto"/>
      </w:divBdr>
    </w:div>
    <w:div w:id="725489186">
      <w:bodyDiv w:val="1"/>
      <w:marLeft w:val="0"/>
      <w:marRight w:val="0"/>
      <w:marTop w:val="0"/>
      <w:marBottom w:val="0"/>
      <w:divBdr>
        <w:top w:val="none" w:sz="0" w:space="0" w:color="auto"/>
        <w:left w:val="none" w:sz="0" w:space="0" w:color="auto"/>
        <w:bottom w:val="none" w:sz="0" w:space="0" w:color="auto"/>
        <w:right w:val="none" w:sz="0" w:space="0" w:color="auto"/>
      </w:divBdr>
    </w:div>
    <w:div w:id="744180524">
      <w:bodyDiv w:val="1"/>
      <w:marLeft w:val="0"/>
      <w:marRight w:val="0"/>
      <w:marTop w:val="0"/>
      <w:marBottom w:val="0"/>
      <w:divBdr>
        <w:top w:val="none" w:sz="0" w:space="0" w:color="auto"/>
        <w:left w:val="none" w:sz="0" w:space="0" w:color="auto"/>
        <w:bottom w:val="none" w:sz="0" w:space="0" w:color="auto"/>
        <w:right w:val="none" w:sz="0" w:space="0" w:color="auto"/>
      </w:divBdr>
    </w:div>
    <w:div w:id="756823641">
      <w:bodyDiv w:val="1"/>
      <w:marLeft w:val="0"/>
      <w:marRight w:val="0"/>
      <w:marTop w:val="0"/>
      <w:marBottom w:val="0"/>
      <w:divBdr>
        <w:top w:val="none" w:sz="0" w:space="0" w:color="auto"/>
        <w:left w:val="none" w:sz="0" w:space="0" w:color="auto"/>
        <w:bottom w:val="none" w:sz="0" w:space="0" w:color="auto"/>
        <w:right w:val="none" w:sz="0" w:space="0" w:color="auto"/>
      </w:divBdr>
    </w:div>
    <w:div w:id="833761626">
      <w:bodyDiv w:val="1"/>
      <w:marLeft w:val="0"/>
      <w:marRight w:val="0"/>
      <w:marTop w:val="0"/>
      <w:marBottom w:val="0"/>
      <w:divBdr>
        <w:top w:val="none" w:sz="0" w:space="0" w:color="auto"/>
        <w:left w:val="none" w:sz="0" w:space="0" w:color="auto"/>
        <w:bottom w:val="none" w:sz="0" w:space="0" w:color="auto"/>
        <w:right w:val="none" w:sz="0" w:space="0" w:color="auto"/>
      </w:divBdr>
    </w:div>
    <w:div w:id="924807413">
      <w:bodyDiv w:val="1"/>
      <w:marLeft w:val="0"/>
      <w:marRight w:val="0"/>
      <w:marTop w:val="0"/>
      <w:marBottom w:val="0"/>
      <w:divBdr>
        <w:top w:val="none" w:sz="0" w:space="0" w:color="auto"/>
        <w:left w:val="none" w:sz="0" w:space="0" w:color="auto"/>
        <w:bottom w:val="none" w:sz="0" w:space="0" w:color="auto"/>
        <w:right w:val="none" w:sz="0" w:space="0" w:color="auto"/>
      </w:divBdr>
    </w:div>
    <w:div w:id="932906363">
      <w:bodyDiv w:val="1"/>
      <w:marLeft w:val="0"/>
      <w:marRight w:val="0"/>
      <w:marTop w:val="0"/>
      <w:marBottom w:val="0"/>
      <w:divBdr>
        <w:top w:val="none" w:sz="0" w:space="0" w:color="auto"/>
        <w:left w:val="none" w:sz="0" w:space="0" w:color="auto"/>
        <w:bottom w:val="none" w:sz="0" w:space="0" w:color="auto"/>
        <w:right w:val="none" w:sz="0" w:space="0" w:color="auto"/>
      </w:divBdr>
    </w:div>
    <w:div w:id="1128209053">
      <w:bodyDiv w:val="1"/>
      <w:marLeft w:val="0"/>
      <w:marRight w:val="0"/>
      <w:marTop w:val="0"/>
      <w:marBottom w:val="0"/>
      <w:divBdr>
        <w:top w:val="none" w:sz="0" w:space="0" w:color="auto"/>
        <w:left w:val="none" w:sz="0" w:space="0" w:color="auto"/>
        <w:bottom w:val="none" w:sz="0" w:space="0" w:color="auto"/>
        <w:right w:val="none" w:sz="0" w:space="0" w:color="auto"/>
      </w:divBdr>
    </w:div>
    <w:div w:id="1249391915">
      <w:bodyDiv w:val="1"/>
      <w:marLeft w:val="0"/>
      <w:marRight w:val="0"/>
      <w:marTop w:val="0"/>
      <w:marBottom w:val="0"/>
      <w:divBdr>
        <w:top w:val="none" w:sz="0" w:space="0" w:color="auto"/>
        <w:left w:val="none" w:sz="0" w:space="0" w:color="auto"/>
        <w:bottom w:val="none" w:sz="0" w:space="0" w:color="auto"/>
        <w:right w:val="none" w:sz="0" w:space="0" w:color="auto"/>
      </w:divBdr>
    </w:div>
    <w:div w:id="1263755597">
      <w:bodyDiv w:val="1"/>
      <w:marLeft w:val="0"/>
      <w:marRight w:val="0"/>
      <w:marTop w:val="0"/>
      <w:marBottom w:val="0"/>
      <w:divBdr>
        <w:top w:val="none" w:sz="0" w:space="0" w:color="auto"/>
        <w:left w:val="none" w:sz="0" w:space="0" w:color="auto"/>
        <w:bottom w:val="none" w:sz="0" w:space="0" w:color="auto"/>
        <w:right w:val="none" w:sz="0" w:space="0" w:color="auto"/>
      </w:divBdr>
    </w:div>
    <w:div w:id="1423649826">
      <w:bodyDiv w:val="1"/>
      <w:marLeft w:val="0"/>
      <w:marRight w:val="0"/>
      <w:marTop w:val="0"/>
      <w:marBottom w:val="0"/>
      <w:divBdr>
        <w:top w:val="none" w:sz="0" w:space="0" w:color="auto"/>
        <w:left w:val="none" w:sz="0" w:space="0" w:color="auto"/>
        <w:bottom w:val="none" w:sz="0" w:space="0" w:color="auto"/>
        <w:right w:val="none" w:sz="0" w:space="0" w:color="auto"/>
      </w:divBdr>
    </w:div>
    <w:div w:id="1588684098">
      <w:bodyDiv w:val="1"/>
      <w:marLeft w:val="0"/>
      <w:marRight w:val="0"/>
      <w:marTop w:val="0"/>
      <w:marBottom w:val="0"/>
      <w:divBdr>
        <w:top w:val="none" w:sz="0" w:space="0" w:color="auto"/>
        <w:left w:val="none" w:sz="0" w:space="0" w:color="auto"/>
        <w:bottom w:val="none" w:sz="0" w:space="0" w:color="auto"/>
        <w:right w:val="none" w:sz="0" w:space="0" w:color="auto"/>
      </w:divBdr>
    </w:div>
    <w:div w:id="1661275197">
      <w:bodyDiv w:val="1"/>
      <w:marLeft w:val="0"/>
      <w:marRight w:val="0"/>
      <w:marTop w:val="0"/>
      <w:marBottom w:val="0"/>
      <w:divBdr>
        <w:top w:val="none" w:sz="0" w:space="0" w:color="auto"/>
        <w:left w:val="none" w:sz="0" w:space="0" w:color="auto"/>
        <w:bottom w:val="none" w:sz="0" w:space="0" w:color="auto"/>
        <w:right w:val="none" w:sz="0" w:space="0" w:color="auto"/>
      </w:divBdr>
    </w:div>
    <w:div w:id="1881937167">
      <w:bodyDiv w:val="1"/>
      <w:marLeft w:val="0"/>
      <w:marRight w:val="0"/>
      <w:marTop w:val="0"/>
      <w:marBottom w:val="0"/>
      <w:divBdr>
        <w:top w:val="none" w:sz="0" w:space="0" w:color="auto"/>
        <w:left w:val="none" w:sz="0" w:space="0" w:color="auto"/>
        <w:bottom w:val="none" w:sz="0" w:space="0" w:color="auto"/>
        <w:right w:val="none" w:sz="0" w:space="0" w:color="auto"/>
      </w:divBdr>
    </w:div>
    <w:div w:id="2113545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5ECD0-A411-4B85-8821-5AFAF4EB1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2483</Words>
  <Characters>14158</Characters>
  <Application>Microsoft Office Word</Application>
  <DocSecurity>0</DocSecurity>
  <Lines>117</Lines>
  <Paragraphs>33</Paragraphs>
  <ScaleCrop>false</ScaleCrop>
  <Company/>
  <LinksUpToDate>false</LinksUpToDate>
  <CharactersWithSpaces>16608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ZTE-Nan</cp:lastModifiedBy>
  <cp:revision>12</cp:revision>
  <dcterms:created xsi:type="dcterms:W3CDTF">2025-03-26T08:31:00Z</dcterms:created>
  <dcterms:modified xsi:type="dcterms:W3CDTF">2025-03-27T11:32:00Z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47FAA59394F744B5A77564E8E468B4AC</vt:lpwstr>
  </property>
</Properties>
</file>